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spacing w:line="58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autoSpaceDE/>
        <w:autoSpaceDN/>
        <w:bidi w:val="0"/>
        <w:adjustRightInd w:val="0"/>
        <w:snapToGrid/>
        <w:spacing w:line="580" w:lineRule="exact"/>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autoSpaceDE/>
        <w:autoSpaceDN/>
        <w:bidi w:val="0"/>
        <w:adjustRightInd w:val="0"/>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2019年安全生产、应急管理及综合防灾减灾工作计划</w:t>
      </w:r>
      <w:r>
        <w:rPr>
          <w:rFonts w:hint="eastAsia" w:ascii="方正小标宋简体" w:hAnsi="方正小标宋简体" w:eastAsia="方正小标宋简体" w:cs="方正小标宋简体"/>
          <w:sz w:val="44"/>
          <w:szCs w:val="44"/>
          <w:lang w:eastAsia="zh-CN"/>
        </w:rPr>
        <w:t>表</w:t>
      </w:r>
    </w:p>
    <w:p>
      <w:pPr>
        <w:keepNext w:val="0"/>
        <w:keepLines w:val="0"/>
        <w:pageBreakBefore w:val="0"/>
        <w:widowControl w:val="0"/>
        <w:kinsoku/>
        <w:wordWrap/>
        <w:overflowPunct/>
        <w:topLinePunct/>
        <w:autoSpaceDE/>
        <w:autoSpaceDN/>
        <w:bidi w:val="0"/>
        <w:adjustRightInd w:val="0"/>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p>
    <w:bookmarkEnd w:id="0"/>
    <w:tbl>
      <w:tblPr>
        <w:tblStyle w:val="3"/>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152"/>
        <w:gridCol w:w="814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b/>
                <w:sz w:val="28"/>
                <w:szCs w:val="28"/>
              </w:rPr>
            </w:pPr>
            <w:r>
              <w:rPr>
                <w:rFonts w:hint="eastAsia" w:ascii="仿宋_GB2312" w:hAnsi="仿宋" w:eastAsia="仿宋_GB2312"/>
                <w:b/>
                <w:sz w:val="28"/>
                <w:szCs w:val="28"/>
              </w:rPr>
              <w:t>序号</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b/>
                <w:sz w:val="28"/>
                <w:szCs w:val="28"/>
              </w:rPr>
            </w:pPr>
            <w:r>
              <w:rPr>
                <w:rFonts w:hint="eastAsia" w:ascii="仿宋_GB2312" w:hAnsi="仿宋" w:eastAsia="仿宋_GB2312"/>
                <w:b/>
                <w:sz w:val="28"/>
                <w:szCs w:val="28"/>
              </w:rPr>
              <w:t>行动项</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b/>
                <w:sz w:val="28"/>
                <w:szCs w:val="28"/>
              </w:rPr>
            </w:pPr>
            <w:r>
              <w:rPr>
                <w:rFonts w:hint="eastAsia" w:ascii="仿宋_GB2312" w:hAnsi="仿宋" w:eastAsia="仿宋_GB2312"/>
                <w:b/>
                <w:sz w:val="28"/>
                <w:szCs w:val="28"/>
              </w:rPr>
              <w:t>具体工作内容</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b/>
                <w:sz w:val="28"/>
                <w:szCs w:val="28"/>
              </w:rPr>
            </w:pPr>
            <w:r>
              <w:rPr>
                <w:rFonts w:hint="eastAsia" w:ascii="仿宋_GB2312" w:hAnsi="仿宋" w:eastAsia="仿宋_GB2312"/>
                <w:b/>
                <w:sz w:val="28"/>
                <w:szCs w:val="28"/>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highlight w:val="red"/>
              </w:rPr>
            </w:pPr>
            <w:r>
              <w:rPr>
                <w:rFonts w:hint="eastAsia" w:ascii="仿宋_GB2312" w:hAnsi="仿宋" w:eastAsia="仿宋_GB2312"/>
                <w:sz w:val="24"/>
                <w:szCs w:val="24"/>
              </w:rPr>
              <w:t>1</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加强应急预案体系建设</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组织修订深圳市人力资源和社会保障局各独立办公场所突发事件总体应急预案和地质灾害、生产安全事故等专项应急预案</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2</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强化应急救援队伍建设</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各独立办公场所建强建好以物业安保人员为主要力量的应急救援队伍</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3</w:t>
            </w:r>
          </w:p>
        </w:tc>
        <w:tc>
          <w:tcPr>
            <w:tcW w:w="315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提升应急抢险救灾能力</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加强值班室建设，全面落实24小时应急值守制度</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健全信息报送和共享机制，完善突发事件应急处置分级响应制度</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完善应急物资储备</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推动应急避难场所建设管理规范化</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以“安全生产月”活动为契机，组织第一期应急演练</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2</w:t>
            </w:r>
            <w:r>
              <w:rPr>
                <w:rFonts w:ascii="仿宋_GB2312" w:hAnsi="仿宋" w:eastAsia="仿宋_GB2312"/>
                <w:sz w:val="24"/>
                <w:szCs w:val="24"/>
              </w:rPr>
              <w:t>019年</w:t>
            </w:r>
            <w:r>
              <w:rPr>
                <w:rFonts w:hint="eastAsia" w:ascii="仿宋_GB2312" w:hAnsi="仿宋" w:eastAsia="仿宋_GB2312"/>
                <w:sz w:val="24"/>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以“消防安全宣传月”活动为契机，组织第二期应急演练</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2</w:t>
            </w:r>
            <w:r>
              <w:rPr>
                <w:rFonts w:ascii="仿宋_GB2312" w:hAnsi="仿宋" w:eastAsia="仿宋_GB2312"/>
                <w:sz w:val="24"/>
                <w:szCs w:val="24"/>
              </w:rPr>
              <w:t>019年</w:t>
            </w:r>
            <w:r>
              <w:rPr>
                <w:rFonts w:hint="eastAsia" w:ascii="仿宋_GB2312" w:hAnsi="仿宋" w:eastAsia="仿宋_GB2312"/>
                <w:sz w:val="24"/>
                <w:szCs w:val="24"/>
              </w:rPr>
              <w:t>1</w:t>
            </w:r>
            <w:r>
              <w:rPr>
                <w:rFonts w:ascii="仿宋_GB2312" w:hAnsi="仿宋" w:eastAsia="仿宋_GB2312"/>
                <w:sz w:val="24"/>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4</w:t>
            </w:r>
          </w:p>
        </w:tc>
        <w:tc>
          <w:tcPr>
            <w:tcW w:w="11296"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召开局党组扩大会研究部署安全生产有关工作</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5</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完善应急管理责任体系</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重新明确我局安全管理及灾害防治职责，细化制定本部门安全管理及灾害防治责任</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2019年12</w:t>
            </w:r>
            <w:r>
              <w:rPr>
                <w:rFonts w:hint="eastAsia" w:ascii="仿宋_GB2312" w:hAnsi="仿宋" w:eastAsia="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6</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进一步压实企业主体责任</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督促企业（机构）落实安全生产主体责任，</w:t>
            </w:r>
            <w:r>
              <w:rPr>
                <w:rFonts w:ascii="仿宋_GB2312" w:hAnsi="仿宋" w:eastAsia="仿宋_GB2312"/>
                <w:sz w:val="24"/>
                <w:szCs w:val="24"/>
              </w:rPr>
              <w:t>深入推行企业安全生产主体责任公开承诺制度</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7</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强化应急管理责任落实</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深入开展重要时段</w:t>
            </w:r>
            <w:r>
              <w:rPr>
                <w:rFonts w:ascii="仿宋_GB2312" w:hAnsi="仿宋" w:eastAsia="仿宋_GB2312"/>
                <w:sz w:val="24"/>
                <w:szCs w:val="24"/>
              </w:rPr>
              <w:t>、重大活动</w:t>
            </w:r>
            <w:r>
              <w:rPr>
                <w:rFonts w:hint="eastAsia" w:ascii="仿宋_GB2312" w:hAnsi="仿宋" w:eastAsia="仿宋_GB2312"/>
                <w:sz w:val="24"/>
                <w:szCs w:val="24"/>
              </w:rPr>
              <w:t>自然灾害及事故灾难防范专项检查督导，推动各项防范应对措施落实</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8</w:t>
            </w:r>
          </w:p>
        </w:tc>
        <w:tc>
          <w:tcPr>
            <w:tcW w:w="315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强化风险隐患排查治理</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编制《</w:t>
            </w:r>
            <w:r>
              <w:rPr>
                <w:rFonts w:ascii="仿宋_GB2312" w:hAnsi="仿宋" w:eastAsia="仿宋_GB2312"/>
                <w:sz w:val="24"/>
                <w:szCs w:val="24"/>
              </w:rPr>
              <w:t>2019年隐患排查计划》</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常态化开展隐患排查治理工作</w:t>
            </w:r>
            <w:r>
              <w:rPr>
                <w:rFonts w:ascii="仿宋_GB2312" w:hAnsi="仿宋" w:eastAsia="仿宋_GB2312"/>
                <w:sz w:val="24"/>
                <w:szCs w:val="24"/>
              </w:rPr>
              <w:t>(包含对未完成整改企业的复查)</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9</w:t>
            </w:r>
          </w:p>
        </w:tc>
        <w:tc>
          <w:tcPr>
            <w:tcW w:w="315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推广安全生产信息化系统</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督促企业</w:t>
            </w:r>
            <w:r>
              <w:rPr>
                <w:rFonts w:ascii="仿宋_GB2312" w:hAnsi="仿宋" w:eastAsia="仿宋_GB2312"/>
                <w:sz w:val="24"/>
                <w:szCs w:val="24"/>
              </w:rPr>
              <w:t>(机构)完成隐患自查、自改、自报</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推动巡查人员实时填报事故隐患巡查及整改信息</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hint="eastAsia" w:ascii="仿宋_GB2312" w:hAnsi="仿宋" w:eastAsia="仿宋_GB2312"/>
                <w:sz w:val="24"/>
                <w:szCs w:val="24"/>
              </w:rPr>
              <w:t>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0</w:t>
            </w:r>
          </w:p>
        </w:tc>
        <w:tc>
          <w:tcPr>
            <w:tcW w:w="315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大力开展宣传教育活动</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编制《2019年安全生产月活动方案</w:t>
            </w:r>
            <w:r>
              <w:rPr>
                <w:rFonts w:ascii="仿宋_GB2312" w:hAnsi="仿宋" w:eastAsia="仿宋_GB2312"/>
                <w:sz w:val="24"/>
                <w:szCs w:val="24"/>
              </w:rPr>
              <w:t>》</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组织安全生产月系列活动，并形成台账，上报市安</w:t>
            </w:r>
            <w:r>
              <w:rPr>
                <w:rFonts w:ascii="仿宋_GB2312" w:hAnsi="仿宋" w:eastAsia="仿宋_GB2312"/>
                <w:sz w:val="24"/>
                <w:szCs w:val="24"/>
              </w:rPr>
              <w:t>委办</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ascii="仿宋_GB2312" w:hAnsi="仿宋" w:eastAsia="仿宋_GB2312"/>
                <w:sz w:val="24"/>
                <w:szCs w:val="24"/>
              </w:rPr>
              <w:t>编制《2019年消防安全宣传月活动方案》</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组织消防安全宣传月系列活动，并形成台账，上报市消安委办</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1</w:t>
            </w:r>
          </w:p>
        </w:tc>
        <w:tc>
          <w:tcPr>
            <w:tcW w:w="3152" w:type="dxa"/>
            <w:vMerge w:val="restart"/>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深入开展应急管理“大培训”</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组织</w:t>
            </w:r>
            <w:r>
              <w:rPr>
                <w:rFonts w:ascii="仿宋_GB2312" w:hAnsi="仿宋" w:eastAsia="仿宋_GB2312"/>
                <w:sz w:val="24"/>
                <w:szCs w:val="24"/>
              </w:rPr>
              <w:t>1期人力资源服务机构安全生产培训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组织</w:t>
            </w:r>
            <w:r>
              <w:rPr>
                <w:rFonts w:ascii="仿宋_GB2312" w:hAnsi="仿宋" w:eastAsia="仿宋_GB2312"/>
                <w:sz w:val="24"/>
                <w:szCs w:val="24"/>
              </w:rPr>
              <w:t>1期劳务派遣单位安全生产培训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w:t>
            </w:r>
            <w:r>
              <w:rPr>
                <w:rFonts w:hint="eastAsia" w:ascii="仿宋_GB2312" w:hAnsi="仿宋" w:eastAsia="仿宋_GB2312"/>
                <w:sz w:val="24"/>
                <w:szCs w:val="24"/>
              </w:rPr>
              <w:t>5</w:t>
            </w:r>
            <w:r>
              <w:rPr>
                <w:rFonts w:ascii="仿宋_GB2312" w:hAnsi="仿宋" w:eastAsia="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以“安全生产月”活动为契机，分别组织</w:t>
            </w:r>
            <w:r>
              <w:rPr>
                <w:rFonts w:ascii="仿宋_GB2312" w:hAnsi="仿宋" w:eastAsia="仿宋_GB2312"/>
                <w:sz w:val="24"/>
                <w:szCs w:val="24"/>
              </w:rPr>
              <w:t>1期民办职业培训机构及职业技能鉴定机构安</w:t>
            </w:r>
            <w:r>
              <w:rPr>
                <w:rFonts w:hint="eastAsia" w:ascii="仿宋_GB2312" w:hAnsi="仿宋" w:eastAsia="仿宋_GB2312"/>
                <w:sz w:val="24"/>
                <w:szCs w:val="24"/>
              </w:rPr>
              <w:t>全生产培训和</w:t>
            </w:r>
            <w:r>
              <w:rPr>
                <w:rFonts w:ascii="仿宋_GB2312" w:hAnsi="仿宋" w:eastAsia="仿宋_GB2312"/>
                <w:sz w:val="24"/>
                <w:szCs w:val="24"/>
              </w:rPr>
              <w:t>1期局机关安全生产培训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组织第</w:t>
            </w:r>
            <w:r>
              <w:rPr>
                <w:rFonts w:ascii="仿宋_GB2312" w:hAnsi="仿宋" w:eastAsia="仿宋_GB2312"/>
                <w:sz w:val="24"/>
                <w:szCs w:val="24"/>
              </w:rPr>
              <w:t>2期人力资源服务机构安全生产培训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ascii="仿宋_GB2312" w:hAnsi="仿宋" w:eastAsia="仿宋_GB2312"/>
                <w:sz w:val="24"/>
                <w:szCs w:val="24"/>
              </w:rPr>
            </w:pPr>
            <w:r>
              <w:rPr>
                <w:rFonts w:hint="eastAsia" w:ascii="仿宋_GB2312" w:hAnsi="仿宋" w:eastAsia="仿宋_GB2312"/>
                <w:sz w:val="24"/>
                <w:szCs w:val="24"/>
              </w:rPr>
              <w:t>组织第</w:t>
            </w:r>
            <w:r>
              <w:rPr>
                <w:rFonts w:ascii="仿宋_GB2312" w:hAnsi="仿宋" w:eastAsia="仿宋_GB2312"/>
                <w:sz w:val="24"/>
                <w:szCs w:val="24"/>
              </w:rPr>
              <w:t>2期劳务派遣单位安全生产培训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p>
        </w:tc>
        <w:tc>
          <w:tcPr>
            <w:tcW w:w="3152" w:type="dxa"/>
            <w:vMerge w:val="continue"/>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以“消防安全宣传月”活动为契机，分别组织第</w:t>
            </w:r>
            <w:r>
              <w:rPr>
                <w:rFonts w:ascii="仿宋_GB2312" w:hAnsi="仿宋" w:eastAsia="仿宋_GB2312"/>
                <w:sz w:val="24"/>
                <w:szCs w:val="24"/>
              </w:rPr>
              <w:t>2期民办职业培训机构及职业技能鉴定</w:t>
            </w:r>
            <w:r>
              <w:rPr>
                <w:rFonts w:hint="eastAsia" w:ascii="仿宋_GB2312" w:hAnsi="仿宋" w:eastAsia="仿宋_GB2312"/>
                <w:sz w:val="24"/>
                <w:szCs w:val="24"/>
              </w:rPr>
              <w:t>机构安全生产培训和第</w:t>
            </w:r>
            <w:r>
              <w:rPr>
                <w:rFonts w:ascii="仿宋_GB2312" w:hAnsi="仿宋" w:eastAsia="仿宋_GB2312"/>
                <w:sz w:val="24"/>
                <w:szCs w:val="24"/>
              </w:rPr>
              <w:t>2期局机关安全生产培训</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2</w:t>
            </w:r>
          </w:p>
        </w:tc>
        <w:tc>
          <w:tcPr>
            <w:tcW w:w="3152"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加强材料报送</w:t>
            </w:r>
          </w:p>
        </w:tc>
        <w:tc>
          <w:tcPr>
            <w:tcW w:w="8144"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outlineLvl w:val="9"/>
              <w:rPr>
                <w:rFonts w:hint="eastAsia" w:ascii="仿宋_GB2312" w:hAnsi="仿宋" w:eastAsia="仿宋_GB2312"/>
                <w:sz w:val="24"/>
                <w:szCs w:val="24"/>
              </w:rPr>
            </w:pPr>
            <w:r>
              <w:rPr>
                <w:rFonts w:hint="eastAsia" w:ascii="仿宋_GB2312" w:hAnsi="仿宋" w:eastAsia="仿宋_GB2312"/>
                <w:sz w:val="24"/>
                <w:szCs w:val="24"/>
              </w:rPr>
              <w:t>根据市安委办、市应急管理局、市消安委等单位关于信安全生产、应急管理及综合防灾减灾的工作要求，按时报送相关工作材料</w:t>
            </w:r>
          </w:p>
        </w:tc>
        <w:tc>
          <w:tcPr>
            <w:tcW w:w="1976"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ascii="仿宋_GB2312" w:hAnsi="仿宋" w:eastAsia="仿宋_GB2312"/>
                <w:sz w:val="24"/>
                <w:szCs w:val="24"/>
              </w:rPr>
            </w:pPr>
            <w:r>
              <w:rPr>
                <w:rFonts w:ascii="仿宋_GB2312" w:hAnsi="仿宋" w:eastAsia="仿宋_GB2312"/>
                <w:sz w:val="24"/>
                <w:szCs w:val="24"/>
              </w:rPr>
              <w:t>按时报送</w:t>
            </w:r>
          </w:p>
        </w:tc>
      </w:tr>
    </w:tbl>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A7F14"/>
    <w:rsid w:val="14F31C94"/>
    <w:rsid w:val="1BDA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2019-06-10T01:38:00Z</dcterms:created>
  <dc:creator>孔磊杰</dc:creator>
  <cp:lastModifiedBy>孔磊杰</cp:lastModifiedBy>
  <dcterms:modified xsi:type="dcterms:W3CDTF">2019-06-10T01:38:43Z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