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rFonts w:hint="eastAsia" w:ascii="黑体" w:hAnsi="黑体" w:eastAsia="黑体" w:cs="宋体"/>
          <w:kern w:val="0"/>
          <w:sz w:val="32"/>
          <w:szCs w:val="32"/>
        </w:rPr>
      </w:pPr>
      <w:r>
        <w:rPr>
          <w:rFonts w:hint="eastAsia" w:ascii="黑体" w:hAnsi="黑体" w:eastAsia="黑体" w:cs="宋体"/>
          <w:kern w:val="0"/>
          <w:sz w:val="32"/>
          <w:szCs w:val="32"/>
        </w:rPr>
        <w:t>附件2</w:t>
      </w:r>
    </w:p>
    <w:p>
      <w:pPr>
        <w:widowControl/>
        <w:spacing w:line="520" w:lineRule="exact"/>
        <w:jc w:val="left"/>
        <w:rPr>
          <w:rFonts w:hint="eastAsia" w:ascii="仿宋_GB2312" w:hAnsi="宋体" w:eastAsia="仿宋_GB2312" w:cs="宋体"/>
          <w:kern w:val="0"/>
          <w:sz w:val="32"/>
          <w:szCs w:val="32"/>
        </w:rPr>
      </w:pPr>
      <w:r>
        <w:rPr>
          <w:rFonts w:hint="eastAsia" w:ascii="仿宋_GB2312" w:hAnsi="宋体" w:eastAsia="仿宋_GB2312" w:cs="宋体"/>
          <w:kern w:val="0"/>
          <w:sz w:val="32"/>
          <w:szCs w:val="32"/>
        </w:rPr>
        <w:t xml:space="preserve"> </w:t>
      </w:r>
    </w:p>
    <w:p>
      <w:pPr>
        <w:widowControl/>
        <w:snapToGrid w:val="0"/>
        <w:spacing w:line="520" w:lineRule="exact"/>
        <w:jc w:val="center"/>
        <w:rPr>
          <w:rFonts w:hint="eastAsia" w:ascii="方正小标宋简体" w:hAnsi="宋体" w:eastAsia="方正小标宋简体" w:cs="宋体"/>
          <w:kern w:val="0"/>
          <w:sz w:val="44"/>
          <w:szCs w:val="44"/>
        </w:rPr>
      </w:pPr>
      <w:bookmarkStart w:id="0" w:name="_GoBack"/>
      <w:r>
        <w:rPr>
          <w:rFonts w:hint="eastAsia" w:ascii="方正小标宋简体" w:hAnsi="宋体" w:eastAsia="方正小标宋简体" w:cs="宋体"/>
          <w:kern w:val="0"/>
          <w:sz w:val="44"/>
          <w:szCs w:val="44"/>
        </w:rPr>
        <w:t>2016年深圳市职业技能鉴定所鉴定质量</w:t>
      </w:r>
    </w:p>
    <w:p>
      <w:pPr>
        <w:widowControl/>
        <w:snapToGrid w:val="0"/>
        <w:spacing w:line="520" w:lineRule="exact"/>
        <w:jc w:val="center"/>
        <w:rPr>
          <w:rFonts w:hint="eastAsia" w:ascii="方正小标宋简体" w:hAnsi="宋体" w:eastAsia="方正小标宋简体" w:cs="宋体"/>
          <w:kern w:val="0"/>
          <w:sz w:val="44"/>
          <w:szCs w:val="44"/>
        </w:rPr>
      </w:pPr>
      <w:r>
        <w:rPr>
          <w:rFonts w:hint="eastAsia" w:ascii="方正小标宋简体" w:hAnsi="宋体" w:eastAsia="方正小标宋简体" w:cs="宋体"/>
          <w:kern w:val="0"/>
          <w:sz w:val="44"/>
          <w:szCs w:val="44"/>
        </w:rPr>
        <w:t>检查评估表</w:t>
      </w:r>
    </w:p>
    <w:bookmarkEnd w:id="0"/>
    <w:p>
      <w:pPr>
        <w:widowControl/>
        <w:snapToGrid w:val="0"/>
        <w:spacing w:line="520" w:lineRule="exact"/>
        <w:rPr>
          <w:rFonts w:hint="eastAsia" w:ascii="宋体" w:hAnsi="宋体"/>
          <w:b/>
          <w:bCs/>
          <w:kern w:val="0"/>
          <w:sz w:val="28"/>
          <w:szCs w:val="28"/>
        </w:rPr>
      </w:pPr>
      <w:r>
        <w:rPr>
          <w:rFonts w:hint="eastAsia" w:ascii="宋体" w:hAnsi="宋体"/>
          <w:b/>
          <w:bCs/>
          <w:kern w:val="0"/>
          <w:sz w:val="28"/>
          <w:szCs w:val="28"/>
        </w:rPr>
        <w:t xml:space="preserve"> </w:t>
      </w:r>
    </w:p>
    <w:p>
      <w:pPr>
        <w:widowControl/>
        <w:snapToGrid w:val="0"/>
        <w:spacing w:line="520" w:lineRule="exact"/>
        <w:rPr>
          <w:rFonts w:hint="eastAsia" w:ascii="宋体" w:hAnsi="宋体"/>
          <w:b/>
          <w:bCs/>
          <w:kern w:val="0"/>
          <w:sz w:val="44"/>
          <w:szCs w:val="44"/>
        </w:rPr>
      </w:pPr>
      <w:r>
        <w:rPr>
          <w:rFonts w:hint="eastAsia" w:ascii="宋体" w:hAnsi="宋体"/>
          <w:b/>
          <w:bCs/>
          <w:kern w:val="0"/>
          <w:sz w:val="28"/>
          <w:szCs w:val="28"/>
        </w:rPr>
        <w:t>_________________________鉴定所</w:t>
      </w:r>
    </w:p>
    <w:tbl>
      <w:tblPr>
        <w:tblStyle w:val="5"/>
        <w:tblW w:w="10020" w:type="dxa"/>
        <w:jc w:val="center"/>
        <w:tblInd w:w="0" w:type="dxa"/>
        <w:tblLayout w:type="fixed"/>
        <w:tblCellMar>
          <w:top w:w="0" w:type="dxa"/>
          <w:left w:w="108" w:type="dxa"/>
          <w:bottom w:w="0" w:type="dxa"/>
          <w:right w:w="108" w:type="dxa"/>
        </w:tblCellMar>
      </w:tblPr>
      <w:tblGrid>
        <w:gridCol w:w="1507"/>
        <w:gridCol w:w="756"/>
        <w:gridCol w:w="803"/>
        <w:gridCol w:w="4536"/>
        <w:gridCol w:w="709"/>
        <w:gridCol w:w="806"/>
        <w:gridCol w:w="7"/>
        <w:gridCol w:w="850"/>
        <w:gridCol w:w="46"/>
      </w:tblGrid>
      <w:tr>
        <w:tblPrEx>
          <w:tblLayout w:type="fixed"/>
          <w:tblCellMar>
            <w:top w:w="0" w:type="dxa"/>
            <w:left w:w="108" w:type="dxa"/>
            <w:bottom w:w="0" w:type="dxa"/>
            <w:right w:w="108" w:type="dxa"/>
          </w:tblCellMar>
        </w:tblPrEx>
        <w:trPr>
          <w:trHeight w:val="849" w:hRule="atLeast"/>
          <w:jc w:val="center"/>
        </w:trPr>
        <w:tc>
          <w:tcPr>
            <w:tcW w:w="150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ascii="宋体" w:hAnsi="宋体"/>
                <w:b/>
                <w:bCs/>
                <w:kern w:val="0"/>
                <w:sz w:val="24"/>
              </w:rPr>
            </w:pPr>
            <w:r>
              <w:rPr>
                <w:rFonts w:hint="eastAsia" w:ascii="宋体" w:hAnsi="宋体"/>
                <w:b/>
                <w:bCs/>
                <w:kern w:val="0"/>
                <w:sz w:val="24"/>
              </w:rPr>
              <w:t>评估项目</w:t>
            </w: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ascii="宋体" w:hAnsi="宋体"/>
                <w:b/>
                <w:bCs/>
                <w:kern w:val="0"/>
                <w:sz w:val="24"/>
              </w:rPr>
            </w:pPr>
            <w:r>
              <w:rPr>
                <w:rFonts w:hint="eastAsia" w:ascii="宋体" w:hAnsi="宋体"/>
                <w:b/>
                <w:bCs/>
                <w:kern w:val="0"/>
                <w:sz w:val="24"/>
              </w:rPr>
              <w:t>项目分解</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ascii="宋体" w:hAnsi="宋体"/>
                <w:b/>
                <w:bCs/>
                <w:kern w:val="0"/>
                <w:sz w:val="24"/>
              </w:rPr>
            </w:pPr>
            <w:r>
              <w:rPr>
                <w:rFonts w:hint="eastAsia" w:ascii="宋体" w:hAnsi="宋体"/>
                <w:b/>
                <w:bCs/>
                <w:kern w:val="0"/>
                <w:sz w:val="24"/>
              </w:rPr>
              <w:t>评估内容及评估办法</w:t>
            </w:r>
          </w:p>
        </w:tc>
        <w:tc>
          <w:tcPr>
            <w:tcW w:w="709" w:type="dxa"/>
            <w:tcBorders>
              <w:top w:val="single" w:color="auto" w:sz="4" w:space="0"/>
              <w:left w:val="nil"/>
              <w:bottom w:val="single" w:color="auto" w:sz="4" w:space="0"/>
              <w:right w:val="single" w:color="auto" w:sz="4" w:space="0"/>
            </w:tcBorders>
            <w:vAlign w:val="center"/>
          </w:tcPr>
          <w:p>
            <w:pPr>
              <w:widowControl/>
              <w:spacing w:line="280" w:lineRule="exact"/>
              <w:ind w:left="-105" w:leftChars="-50" w:right="-105" w:rightChars="-50"/>
              <w:jc w:val="center"/>
              <w:rPr>
                <w:rFonts w:ascii="宋体" w:hAnsi="宋体"/>
                <w:b/>
                <w:bCs/>
                <w:kern w:val="0"/>
                <w:sz w:val="24"/>
              </w:rPr>
            </w:pPr>
            <w:r>
              <w:rPr>
                <w:rFonts w:hint="eastAsia" w:ascii="宋体" w:hAnsi="宋体"/>
                <w:b/>
                <w:bCs/>
                <w:kern w:val="0"/>
                <w:sz w:val="24"/>
              </w:rPr>
              <w:t>自查</w:t>
            </w:r>
          </w:p>
          <w:p>
            <w:pPr>
              <w:widowControl/>
              <w:spacing w:line="280" w:lineRule="exact"/>
              <w:ind w:left="-105" w:leftChars="-50" w:right="-105" w:rightChars="-50"/>
              <w:jc w:val="center"/>
              <w:rPr>
                <w:rFonts w:ascii="宋体" w:hAnsi="宋体"/>
                <w:b/>
                <w:bCs/>
                <w:kern w:val="0"/>
                <w:sz w:val="24"/>
              </w:rPr>
            </w:pPr>
            <w:r>
              <w:rPr>
                <w:rFonts w:hint="eastAsia" w:ascii="宋体" w:hAnsi="宋体"/>
                <w:b/>
                <w:bCs/>
                <w:kern w:val="0"/>
                <w:sz w:val="24"/>
              </w:rPr>
              <w:t>情况</w:t>
            </w:r>
          </w:p>
        </w:tc>
        <w:tc>
          <w:tcPr>
            <w:tcW w:w="806" w:type="dxa"/>
            <w:tcBorders>
              <w:top w:val="single" w:color="auto" w:sz="4" w:space="0"/>
              <w:left w:val="nil"/>
              <w:bottom w:val="single" w:color="auto" w:sz="4" w:space="0"/>
              <w:right w:val="single" w:color="auto" w:sz="4" w:space="0"/>
            </w:tcBorders>
            <w:vAlign w:val="center"/>
          </w:tcPr>
          <w:p>
            <w:pPr>
              <w:widowControl/>
              <w:spacing w:line="280" w:lineRule="exact"/>
              <w:ind w:left="-105" w:leftChars="-50" w:right="-105" w:rightChars="-50"/>
              <w:jc w:val="center"/>
              <w:rPr>
                <w:rFonts w:ascii="宋体" w:hAnsi="宋体"/>
                <w:b/>
                <w:bCs/>
                <w:kern w:val="0"/>
                <w:sz w:val="24"/>
              </w:rPr>
            </w:pPr>
            <w:r>
              <w:rPr>
                <w:rFonts w:hint="eastAsia" w:ascii="宋体" w:hAnsi="宋体"/>
                <w:b/>
                <w:bCs/>
                <w:kern w:val="0"/>
                <w:sz w:val="24"/>
              </w:rPr>
              <w:t>检查</w:t>
            </w:r>
          </w:p>
          <w:p>
            <w:pPr>
              <w:widowControl/>
              <w:spacing w:line="280" w:lineRule="exact"/>
              <w:ind w:left="-105" w:leftChars="-50" w:right="-105" w:rightChars="-50"/>
              <w:jc w:val="center"/>
              <w:rPr>
                <w:rFonts w:ascii="宋体" w:hAnsi="宋体"/>
                <w:b/>
                <w:bCs/>
                <w:kern w:val="0"/>
                <w:sz w:val="24"/>
              </w:rPr>
            </w:pPr>
            <w:r>
              <w:rPr>
                <w:rFonts w:hint="eastAsia" w:ascii="宋体" w:hAnsi="宋体"/>
                <w:b/>
                <w:bCs/>
                <w:kern w:val="0"/>
                <w:sz w:val="24"/>
              </w:rPr>
              <w:t>评估</w:t>
            </w:r>
          </w:p>
        </w:tc>
        <w:tc>
          <w:tcPr>
            <w:tcW w:w="903" w:type="dxa"/>
            <w:gridSpan w:val="3"/>
            <w:tcBorders>
              <w:top w:val="single" w:color="auto" w:sz="4" w:space="0"/>
              <w:left w:val="nil"/>
              <w:bottom w:val="single" w:color="auto" w:sz="4" w:space="0"/>
              <w:right w:val="single" w:color="auto" w:sz="4" w:space="0"/>
            </w:tcBorders>
            <w:vAlign w:val="center"/>
          </w:tcPr>
          <w:p>
            <w:pPr>
              <w:widowControl/>
              <w:spacing w:line="280" w:lineRule="exact"/>
              <w:ind w:left="-105" w:leftChars="-50" w:right="-105" w:rightChars="-50"/>
              <w:jc w:val="center"/>
              <w:rPr>
                <w:rFonts w:ascii="宋体" w:hAnsi="宋体"/>
                <w:b/>
                <w:bCs/>
                <w:kern w:val="0"/>
                <w:sz w:val="24"/>
              </w:rPr>
            </w:pPr>
            <w:r>
              <w:rPr>
                <w:rFonts w:hint="eastAsia" w:ascii="宋体" w:hAnsi="宋体"/>
                <w:b/>
                <w:bCs/>
                <w:kern w:val="0"/>
                <w:sz w:val="24"/>
              </w:rPr>
              <w:t>存在</w:t>
            </w:r>
          </w:p>
          <w:p>
            <w:pPr>
              <w:widowControl/>
              <w:spacing w:line="280" w:lineRule="exact"/>
              <w:ind w:left="-105" w:leftChars="-50" w:right="-105" w:rightChars="-50"/>
              <w:jc w:val="center"/>
              <w:rPr>
                <w:rFonts w:ascii="宋体" w:hAnsi="宋体"/>
                <w:b/>
                <w:bCs/>
                <w:kern w:val="0"/>
                <w:sz w:val="24"/>
              </w:rPr>
            </w:pPr>
            <w:r>
              <w:rPr>
                <w:rFonts w:hint="eastAsia" w:ascii="宋体" w:hAnsi="宋体"/>
                <w:b/>
                <w:bCs/>
                <w:kern w:val="0"/>
                <w:sz w:val="24"/>
              </w:rPr>
              <w:t>问题</w:t>
            </w:r>
          </w:p>
        </w:tc>
      </w:tr>
      <w:tr>
        <w:tblPrEx>
          <w:tblLayout w:type="fixed"/>
          <w:tblCellMar>
            <w:top w:w="0" w:type="dxa"/>
            <w:left w:w="108" w:type="dxa"/>
            <w:bottom w:w="0" w:type="dxa"/>
            <w:right w:w="108" w:type="dxa"/>
          </w:tblCellMar>
        </w:tblPrEx>
        <w:trPr>
          <w:cantSplit/>
          <w:trHeight w:val="1032" w:hRule="atLeast"/>
          <w:jc w:val="center"/>
        </w:trPr>
        <w:tc>
          <w:tcPr>
            <w:tcW w:w="1507" w:type="dxa"/>
            <w:vMerge w:val="restart"/>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一、鉴定所（站）管理</w:t>
            </w:r>
          </w:p>
          <w:p>
            <w:pPr>
              <w:widowControl/>
              <w:spacing w:line="300" w:lineRule="exact"/>
              <w:jc w:val="center"/>
              <w:rPr>
                <w:rFonts w:hint="eastAsia" w:ascii="仿宋_GB2312" w:hAnsi="宋体" w:eastAsia="仿宋_GB2312" w:cs="宋体"/>
                <w:kern w:val="0"/>
                <w:sz w:val="24"/>
              </w:rPr>
            </w:pPr>
          </w:p>
        </w:tc>
        <w:tc>
          <w:tcPr>
            <w:tcW w:w="756" w:type="dxa"/>
            <w:vMerge w:val="restart"/>
            <w:tcBorders>
              <w:top w:val="nil"/>
              <w:left w:val="nil"/>
              <w:bottom w:val="single" w:color="auto" w:sz="4" w:space="0"/>
              <w:right w:val="single" w:color="auto" w:sz="4" w:space="0"/>
            </w:tcBorders>
            <w:vAlign w:val="center"/>
          </w:tcPr>
          <w:p>
            <w:pPr>
              <w:widowControl/>
              <w:spacing w:line="300" w:lineRule="exact"/>
              <w:ind w:left="-105" w:leftChars="-50" w:right="-105" w:rightChars="-50"/>
              <w:jc w:val="center"/>
              <w:rPr>
                <w:rFonts w:hint="eastAsia" w:ascii="仿宋_GB2312" w:hAnsi="宋体" w:eastAsia="仿宋_GB2312" w:cs="宋体"/>
                <w:kern w:val="0"/>
                <w:sz w:val="24"/>
              </w:rPr>
            </w:pPr>
            <w:r>
              <w:rPr>
                <w:rFonts w:hint="eastAsia" w:ascii="仿宋_GB2312" w:hAnsi="宋体" w:eastAsia="仿宋_GB2312" w:cs="宋体"/>
                <w:kern w:val="0"/>
                <w:sz w:val="24"/>
              </w:rPr>
              <w:t>管理</w:t>
            </w:r>
          </w:p>
          <w:p>
            <w:pPr>
              <w:widowControl/>
              <w:spacing w:line="300" w:lineRule="exact"/>
              <w:ind w:left="-105" w:leftChars="-50" w:right="-105" w:rightChars="-50"/>
              <w:jc w:val="center"/>
              <w:rPr>
                <w:rFonts w:hint="eastAsia" w:ascii="仿宋_GB2312" w:hAnsi="宋体" w:eastAsia="仿宋_GB2312" w:cs="宋体"/>
                <w:kern w:val="0"/>
                <w:sz w:val="24"/>
              </w:rPr>
            </w:pPr>
            <w:r>
              <w:rPr>
                <w:rFonts w:hint="eastAsia" w:ascii="仿宋_GB2312" w:hAnsi="宋体" w:eastAsia="仿宋_GB2312" w:cs="宋体"/>
                <w:kern w:val="0"/>
                <w:sz w:val="24"/>
              </w:rPr>
              <w:t>机构</w:t>
            </w:r>
          </w:p>
          <w:p>
            <w:pPr>
              <w:widowControl/>
              <w:spacing w:line="300" w:lineRule="exact"/>
              <w:ind w:left="-105" w:leftChars="-50" w:right="-105" w:rightChars="-50"/>
              <w:jc w:val="center"/>
              <w:rPr>
                <w:rFonts w:hint="eastAsia" w:ascii="仿宋_GB2312" w:hAnsi="宋体" w:eastAsia="仿宋_GB2312" w:cs="宋体"/>
                <w:kern w:val="0"/>
                <w:sz w:val="24"/>
              </w:rPr>
            </w:pPr>
          </w:p>
        </w:tc>
        <w:tc>
          <w:tcPr>
            <w:tcW w:w="803" w:type="dxa"/>
            <w:tcBorders>
              <w:top w:val="single" w:color="auto" w:sz="4" w:space="0"/>
              <w:left w:val="nil"/>
              <w:bottom w:val="single" w:color="auto" w:sz="4" w:space="0"/>
              <w:right w:val="single" w:color="auto" w:sz="4" w:space="0"/>
            </w:tcBorders>
            <w:vAlign w:val="center"/>
          </w:tcPr>
          <w:p>
            <w:pPr>
              <w:widowControl/>
              <w:spacing w:line="300" w:lineRule="exact"/>
              <w:rPr>
                <w:rFonts w:hint="eastAsia" w:ascii="仿宋_GB2312" w:hAnsi="宋体" w:eastAsia="仿宋_GB2312" w:cs="宋体"/>
                <w:kern w:val="0"/>
                <w:sz w:val="24"/>
              </w:rPr>
            </w:pPr>
            <w:r>
              <w:rPr>
                <w:rFonts w:hint="eastAsia" w:ascii="仿宋_GB2312" w:hAnsi="宋体" w:eastAsia="仿宋_GB2312" w:cs="宋体"/>
                <w:kern w:val="0"/>
                <w:sz w:val="24"/>
              </w:rPr>
              <w:t>地点</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有常设办公地点，面积在15平方米以上的为合格；不足15平分米的不合格。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1427"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756" w:type="dxa"/>
            <w:vMerge w:val="continue"/>
            <w:tcBorders>
              <w:top w:val="nil"/>
              <w:left w:val="nil"/>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803"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管理</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人员</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有专职管理人员[包括所（站）长、副所（站）长、财务管理人员、档案管理人员、考务人员、安全保卫人员等]的为合格；没有专职管理人员[包括所（站）长、副所（站）长、财务管理人员、档案管理人员、考务人员、安全保卫人员等]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1140"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756" w:type="dxa"/>
            <w:vMerge w:val="continue"/>
            <w:tcBorders>
              <w:top w:val="nil"/>
              <w:left w:val="nil"/>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803" w:type="dxa"/>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财务</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管理</w:t>
            </w:r>
          </w:p>
          <w:p>
            <w:pPr>
              <w:widowControl/>
              <w:spacing w:line="300" w:lineRule="exact"/>
              <w:jc w:val="left"/>
              <w:rPr>
                <w:rFonts w:hint="eastAsia" w:ascii="仿宋_GB2312" w:hAnsi="宋体" w:eastAsia="仿宋_GB2312" w:cs="宋体"/>
                <w:kern w:val="0"/>
                <w:sz w:val="24"/>
              </w:rPr>
            </w:pP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财务制度健全，账目清楚，按规定项目收费的为合格；不按规定项目收费的为不合格。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2215"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规章制度</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建设情况</w:t>
            </w:r>
          </w:p>
        </w:tc>
        <w:tc>
          <w:tcPr>
            <w:tcW w:w="4536" w:type="dxa"/>
            <w:tcBorders>
              <w:top w:val="single" w:color="auto" w:sz="4" w:space="0"/>
              <w:left w:val="nil"/>
              <w:bottom w:val="single" w:color="auto" w:sz="4" w:space="0"/>
              <w:right w:val="single" w:color="auto" w:sz="4" w:space="0"/>
            </w:tcBorders>
            <w:vAlign w:val="top"/>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有健全完善的规章制度（包括有关人员职责和工作守则、财务管理制度、职业技能鉴定报名须知、鉴定程序、考场规则、档案管理制度、有关设备仪器管理制度等），且张贴于醒目的墙上，执行、落实到位，的为合格；没有健全完善的规章制度，未张贴墙上，执行、落实不到位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688"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考务档案</w:t>
            </w:r>
          </w:p>
          <w:p>
            <w:pPr>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管理</w:t>
            </w:r>
          </w:p>
        </w:tc>
        <w:tc>
          <w:tcPr>
            <w:tcW w:w="4536" w:type="dxa"/>
            <w:tcBorders>
              <w:top w:val="single" w:color="auto" w:sz="4" w:space="0"/>
              <w:left w:val="nil"/>
              <w:bottom w:val="single" w:color="auto" w:sz="4" w:space="0"/>
              <w:right w:val="single" w:color="auto" w:sz="4" w:space="0"/>
            </w:tcBorders>
            <w:vAlign w:val="top"/>
          </w:tcPr>
          <w:p>
            <w:pPr>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考务档案健全的为合格；考务档案不健全的为不合格。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1146" w:hRule="atLeast"/>
          <w:jc w:val="center"/>
        </w:trPr>
        <w:tc>
          <w:tcPr>
            <w:tcW w:w="1507" w:type="dxa"/>
            <w:vMerge w:val="restart"/>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二、鉴定</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场所、设备</w:t>
            </w: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鉴定场所</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按职业技能鉴定规定，有符合鉴定工种要求并满足考核工位需要的鉴定场所的为合格；工位不足的为不合格。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1429"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鉴定设备</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设备设施与所鉴定工种要求相匹配、符合国家职业标准的要求，完好率达到90%的为合格；设备设施不匹配、完好率达不到90%的为不合格。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966"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检测工具</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仪器</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有满足本工种相应等级需要的检测工具、仪器，并经定期检验合格，能满足考评人员考评检测需要的为合格；达不到上述要求的为不合格。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757" w:hRule="atLeast"/>
          <w:jc w:val="center"/>
        </w:trPr>
        <w:tc>
          <w:tcPr>
            <w:tcW w:w="1507" w:type="dxa"/>
            <w:vMerge w:val="restart"/>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三、考评人员</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 xml:space="preserve">  使用管理</w:t>
            </w:r>
          </w:p>
          <w:p>
            <w:pPr>
              <w:widowControl/>
              <w:spacing w:line="300" w:lineRule="exact"/>
              <w:jc w:val="center"/>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考评人员</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使用</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使用市鉴定指导办派出的考评人员的为合格；自行使用非市鉴定指导办派出的考评人员的为不合格。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58"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考评人员</w:t>
            </w:r>
          </w:p>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管理</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能严格管理和监督考评人员执行鉴定规程和考场规则的为合格；不能严格管理和监督考评人员执行鉴定规程和考场规则的为不合格。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616" w:hRule="atLeast"/>
          <w:jc w:val="center"/>
        </w:trPr>
        <w:tc>
          <w:tcPr>
            <w:tcW w:w="1507" w:type="dxa"/>
            <w:vMerge w:val="restart"/>
            <w:tcBorders>
              <w:top w:val="nil"/>
              <w:left w:val="single" w:color="auto" w:sz="4" w:space="0"/>
              <w:bottom w:val="single" w:color="auto" w:sz="4" w:space="0"/>
              <w:right w:val="single" w:color="auto" w:sz="4" w:space="0"/>
            </w:tcBorders>
            <w:vAlign w:val="center"/>
          </w:tcPr>
          <w:p>
            <w:pPr>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四、开展鉴定工作</w:t>
            </w: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鉴定地点</w:t>
            </w:r>
          </w:p>
        </w:tc>
        <w:tc>
          <w:tcPr>
            <w:tcW w:w="4536" w:type="dxa"/>
            <w:tcBorders>
              <w:top w:val="single" w:color="auto" w:sz="4" w:space="0"/>
              <w:left w:val="nil"/>
              <w:bottom w:val="single" w:color="auto" w:sz="4" w:space="0"/>
              <w:right w:val="single" w:color="auto" w:sz="4" w:space="0"/>
            </w:tcBorders>
            <w:vAlign w:val="top"/>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按行政许可地点开展鉴定活动的为合格；未经批准擅自开展跨地区鉴定活动的为不合格。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165"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鉴定范围</w:t>
            </w:r>
          </w:p>
        </w:tc>
        <w:tc>
          <w:tcPr>
            <w:tcW w:w="4536" w:type="dxa"/>
            <w:tcBorders>
              <w:top w:val="single" w:color="auto" w:sz="4" w:space="0"/>
              <w:left w:val="nil"/>
              <w:bottom w:val="single" w:color="auto" w:sz="4" w:space="0"/>
              <w:right w:val="single" w:color="auto" w:sz="4" w:space="0"/>
            </w:tcBorders>
            <w:vAlign w:val="top"/>
          </w:tcPr>
          <w:p>
            <w:pPr>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按行政许可范围开展鉴定活动的为合格；未经批准擅自超范围开展鉴定活动的为不合格。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501"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鉴定活动</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两年内有开展鉴定活动的为合格；连续2年内未开展鉴定工作，为不合格。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1025"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违规情况</w:t>
            </w:r>
          </w:p>
        </w:tc>
        <w:tc>
          <w:tcPr>
            <w:tcW w:w="4536" w:type="dxa"/>
            <w:tcBorders>
              <w:top w:val="single" w:color="auto" w:sz="4" w:space="0"/>
              <w:left w:val="nil"/>
              <w:bottom w:val="single" w:color="auto" w:sz="4" w:space="0"/>
              <w:right w:val="single" w:color="auto" w:sz="4" w:space="0"/>
            </w:tcBorders>
            <w:vAlign w:val="top"/>
          </w:tcPr>
          <w:p>
            <w:pPr>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两年内有违规行为，被处理后已经整改的为合格；两年内有违规行为被处理后，整改期满没有整改的，或又再次违规的为不合格。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1228" w:hRule="atLeast"/>
          <w:jc w:val="center"/>
        </w:trPr>
        <w:tc>
          <w:tcPr>
            <w:tcW w:w="1507" w:type="dxa"/>
            <w:vMerge w:val="restart"/>
            <w:tcBorders>
              <w:top w:val="nil"/>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五、考务管理</w:t>
            </w:r>
          </w:p>
          <w:p>
            <w:pPr>
              <w:widowControl/>
              <w:spacing w:line="300" w:lineRule="exact"/>
              <w:jc w:val="center"/>
              <w:rPr>
                <w:rFonts w:hint="eastAsia" w:ascii="仿宋_GB2312" w:hAnsi="宋体" w:eastAsia="仿宋_GB2312" w:cs="宋体"/>
                <w:kern w:val="0"/>
                <w:sz w:val="24"/>
              </w:rPr>
            </w:pPr>
          </w:p>
          <w:p>
            <w:pPr>
              <w:spacing w:line="300" w:lineRule="exact"/>
              <w:jc w:val="center"/>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鉴定公告</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对所鉴定工种、等级及考场安排及时发布公告，内容齐全、引导标识清晰的为合格；未发布公告，内容不齐全或标识不清晰为不合格。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992"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实操确认</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实操报名确认时，能及时通知考生鉴定时间和考场、自带工、量具和材料清单、安全事项等为合格；通知不及时或内容不全的为不合格。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cantSplit/>
          <w:trHeight w:val="620"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考场管理</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考务人员能严格按照《考务规则》要求维持考场秩序，担负监考职责，并做好考场记录的为合格；考务人员未能维持考场秩序，考场记录不齐全的为不合格。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06"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903" w:type="dxa"/>
            <w:gridSpan w:val="3"/>
            <w:tcBorders>
              <w:top w:val="single" w:color="auto" w:sz="4" w:space="0"/>
              <w:left w:val="nil"/>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gridAfter w:val="1"/>
          <w:wAfter w:w="46" w:type="dxa"/>
          <w:trHeight w:val="542"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评分汇总</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考评人员严格按评分标准逐项评分，认真填写评分表。抽差试卷无差错的为合格；差错率超过1%的为不合格。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13" w:type="dxa"/>
            <w:gridSpan w:val="2"/>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50"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gridAfter w:val="1"/>
          <w:wAfter w:w="46" w:type="dxa"/>
          <w:trHeight w:val="841"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办证服务</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能及时为鉴定合格的考生办理职业资格证书，并永久保存证书核发表，符合要求合格，否则为不合格。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13" w:type="dxa"/>
            <w:gridSpan w:val="2"/>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c>
          <w:tcPr>
            <w:tcW w:w="850"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gridAfter w:val="1"/>
          <w:wAfter w:w="46" w:type="dxa"/>
          <w:trHeight w:val="1266" w:hRule="atLeast"/>
          <w:jc w:val="center"/>
        </w:trPr>
        <w:tc>
          <w:tcPr>
            <w:tcW w:w="1507"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宋体"/>
                <w:kern w:val="0"/>
                <w:sz w:val="24"/>
              </w:rPr>
            </w:pP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投诉电话</w:t>
            </w: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 w:val="24"/>
              </w:rPr>
            </w:pPr>
            <w:r>
              <w:rPr>
                <w:rFonts w:hint="eastAsia" w:ascii="仿宋_GB2312" w:hAnsi="宋体" w:eastAsia="仿宋_GB2312" w:cs="宋体"/>
                <w:kern w:val="0"/>
                <w:sz w:val="24"/>
              </w:rPr>
              <w:t>设立和公布专门的投诉咨询电话，有专人值班，并做好记录，及时反馈，符合要求的为合格；没有设立或公布专门的投诉电话的为不合格。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13" w:type="dxa"/>
            <w:gridSpan w:val="2"/>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c>
          <w:tcPr>
            <w:tcW w:w="85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hint="eastAsia" w:ascii="仿宋_GB2312" w:hAnsi="宋体" w:eastAsia="仿宋_GB2312" w:cs="宋体"/>
                <w:kern w:val="0"/>
                <w:sz w:val="24"/>
              </w:rPr>
            </w:pPr>
          </w:p>
        </w:tc>
      </w:tr>
      <w:tr>
        <w:tblPrEx>
          <w:tblLayout w:type="fixed"/>
          <w:tblCellMar>
            <w:top w:w="0" w:type="dxa"/>
            <w:left w:w="108" w:type="dxa"/>
            <w:bottom w:w="0" w:type="dxa"/>
            <w:right w:w="108" w:type="dxa"/>
          </w:tblCellMar>
        </w:tblPrEx>
        <w:trPr>
          <w:gridAfter w:val="1"/>
          <w:wAfter w:w="46" w:type="dxa"/>
          <w:trHeight w:val="1468" w:hRule="atLeast"/>
          <w:jc w:val="center"/>
        </w:trPr>
        <w:tc>
          <w:tcPr>
            <w:tcW w:w="1507" w:type="dxa"/>
            <w:tcBorders>
              <w:top w:val="single" w:color="auto" w:sz="4" w:space="0"/>
              <w:left w:val="single" w:color="auto" w:sz="4" w:space="0"/>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r>
              <w:rPr>
                <w:rFonts w:hint="eastAsia" w:ascii="仿宋_GB2312" w:hAnsi="宋体" w:eastAsia="仿宋_GB2312" w:cs="宋体"/>
                <w:kern w:val="0"/>
                <w:sz w:val="24"/>
              </w:rPr>
              <w:t>六、执行收费标准</w:t>
            </w:r>
          </w:p>
        </w:tc>
        <w:tc>
          <w:tcPr>
            <w:tcW w:w="1559"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hint="eastAsia" w:ascii="仿宋_GB2312" w:hAnsi="宋体" w:eastAsia="仿宋_GB2312" w:cs="宋体"/>
                <w:kern w:val="0"/>
                <w:sz w:val="24"/>
              </w:rPr>
            </w:pPr>
          </w:p>
        </w:tc>
        <w:tc>
          <w:tcPr>
            <w:tcW w:w="4536" w:type="dxa"/>
            <w:tcBorders>
              <w:top w:val="single" w:color="auto" w:sz="4" w:space="0"/>
              <w:left w:val="nil"/>
              <w:bottom w:val="single" w:color="auto" w:sz="4" w:space="0"/>
              <w:right w:val="single" w:color="auto" w:sz="4" w:space="0"/>
            </w:tcBorders>
            <w:vAlign w:val="center"/>
          </w:tcPr>
          <w:p>
            <w:pPr>
              <w:widowControl/>
              <w:spacing w:line="300" w:lineRule="exact"/>
              <w:jc w:val="left"/>
              <w:rPr>
                <w:rFonts w:hint="eastAsia" w:ascii="仿宋_GB2312" w:hAnsi="宋体" w:eastAsia="仿宋_GB2312" w:cs="宋体"/>
                <w:kern w:val="0"/>
                <w:szCs w:val="21"/>
              </w:rPr>
            </w:pPr>
            <w:r>
              <w:rPr>
                <w:rFonts w:hint="eastAsia" w:ascii="仿宋_GB2312" w:hAnsi="宋体" w:eastAsia="仿宋_GB2312" w:cs="宋体"/>
                <w:kern w:val="0"/>
                <w:sz w:val="24"/>
              </w:rPr>
              <w:t>严格按照有关规定的收费项目和标准执行，使用统一票据收费的为合格；不按照有关规定的收费项目和标准收费的或未使用统一票据的为不合格。</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b/>
                <w:bCs/>
                <w:kern w:val="0"/>
                <w:sz w:val="24"/>
              </w:rPr>
            </w:pPr>
          </w:p>
        </w:tc>
        <w:tc>
          <w:tcPr>
            <w:tcW w:w="813" w:type="dxa"/>
            <w:gridSpan w:val="2"/>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b/>
                <w:bCs/>
                <w:kern w:val="0"/>
                <w:sz w:val="24"/>
              </w:rPr>
            </w:pPr>
          </w:p>
        </w:tc>
        <w:tc>
          <w:tcPr>
            <w:tcW w:w="850" w:type="dxa"/>
            <w:tcBorders>
              <w:top w:val="single" w:color="auto" w:sz="4" w:space="0"/>
              <w:left w:val="nil"/>
              <w:bottom w:val="single" w:color="auto" w:sz="4" w:space="0"/>
              <w:right w:val="single" w:color="auto" w:sz="4" w:space="0"/>
            </w:tcBorders>
            <w:vAlign w:val="center"/>
          </w:tcPr>
          <w:p>
            <w:pPr>
              <w:widowControl/>
              <w:spacing w:line="360" w:lineRule="auto"/>
              <w:jc w:val="left"/>
              <w:rPr>
                <w:rFonts w:hint="eastAsia" w:ascii="仿宋_GB2312" w:hAnsi="宋体" w:eastAsia="仿宋_GB2312" w:cs="宋体"/>
                <w:b/>
                <w:bCs/>
                <w:kern w:val="0"/>
                <w:sz w:val="24"/>
              </w:rPr>
            </w:pPr>
          </w:p>
        </w:tc>
      </w:tr>
    </w:tbl>
    <w:p>
      <w:pPr>
        <w:rPr>
          <w:rFonts w:hint="eastAsia" w:ascii="仿宋_GB2312" w:eastAsia="仿宋_GB2312"/>
          <w:vanish/>
          <w:szCs w:val="21"/>
        </w:rPr>
      </w:pPr>
      <w:r>
        <w:rPr>
          <w:rFonts w:hint="eastAsia" w:ascii="仿宋_GB2312" w:eastAsia="仿宋_GB2312"/>
          <w:vanish/>
        </w:rPr>
        <w:t xml:space="preserve"> </w:t>
      </w:r>
    </w:p>
    <w:tbl>
      <w:tblPr>
        <w:tblStyle w:val="5"/>
        <w:tblW w:w="9923" w:type="dxa"/>
        <w:tblInd w:w="-459" w:type="dxa"/>
        <w:tblLayout w:type="fixed"/>
        <w:tblCellMar>
          <w:top w:w="0" w:type="dxa"/>
          <w:left w:w="108" w:type="dxa"/>
          <w:bottom w:w="0" w:type="dxa"/>
          <w:right w:w="108" w:type="dxa"/>
        </w:tblCellMar>
      </w:tblPr>
      <w:tblGrid>
        <w:gridCol w:w="9923"/>
      </w:tblGrid>
      <w:tr>
        <w:tblPrEx>
          <w:tblLayout w:type="fixed"/>
          <w:tblCellMar>
            <w:top w:w="0" w:type="dxa"/>
            <w:left w:w="108" w:type="dxa"/>
            <w:bottom w:w="0" w:type="dxa"/>
            <w:right w:w="108" w:type="dxa"/>
          </w:tblCellMar>
        </w:tblPrEx>
        <w:trPr>
          <w:trHeight w:val="8779" w:hRule="atLeast"/>
        </w:trPr>
        <w:tc>
          <w:tcPr>
            <w:tcW w:w="9923" w:type="dxa"/>
            <w:tcBorders>
              <w:top w:val="single" w:color="auto" w:sz="4" w:space="0"/>
              <w:left w:val="single" w:color="auto" w:sz="4" w:space="0"/>
              <w:bottom w:val="single" w:color="auto" w:sz="4" w:space="0"/>
              <w:right w:val="single" w:color="auto" w:sz="4" w:space="0"/>
            </w:tcBorders>
            <w:vAlign w:val="top"/>
          </w:tcPr>
          <w:p>
            <w:pPr>
              <w:widowControl/>
              <w:spacing w:line="360" w:lineRule="auto"/>
              <w:jc w:val="left"/>
              <w:rPr>
                <w:rFonts w:hint="eastAsia" w:ascii="仿宋_GB2312" w:hAnsi="宋体" w:eastAsia="仿宋_GB2312" w:cs="宋体"/>
                <w:kern w:val="0"/>
                <w:sz w:val="24"/>
              </w:rPr>
            </w:pPr>
            <w:r>
              <w:rPr>
                <w:rFonts w:hint="eastAsia" w:ascii="仿宋_GB2312" w:hAnsi="宋体" w:eastAsia="仿宋_GB2312" w:cs="宋体"/>
                <w:kern w:val="0"/>
                <w:sz w:val="24"/>
              </w:rPr>
              <w:t>评估意见：</w:t>
            </w: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spacing w:line="360" w:lineRule="auto"/>
              <w:jc w:val="left"/>
              <w:rPr>
                <w:rFonts w:hint="eastAsia" w:ascii="仿宋_GB2312" w:hAnsi="宋体" w:eastAsia="仿宋_GB2312" w:cs="宋体"/>
                <w:kern w:val="0"/>
                <w:sz w:val="24"/>
              </w:rPr>
            </w:pPr>
          </w:p>
          <w:p>
            <w:pPr>
              <w:widowControl/>
              <w:wordWrap w:val="0"/>
              <w:spacing w:line="360" w:lineRule="auto"/>
              <w:ind w:right="480"/>
              <w:rPr>
                <w:rFonts w:hint="eastAsia" w:ascii="仿宋_GB2312" w:hAnsi="宋体" w:eastAsia="仿宋_GB2312" w:cs="宋体"/>
                <w:kern w:val="0"/>
                <w:sz w:val="24"/>
              </w:rPr>
            </w:pPr>
            <w:r>
              <w:rPr>
                <w:rFonts w:hint="eastAsia" w:ascii="仿宋_GB2312" w:hAnsi="宋体" w:eastAsia="仿宋_GB2312" w:cs="宋体"/>
                <w:kern w:val="0"/>
                <w:sz w:val="24"/>
              </w:rPr>
              <w:t xml:space="preserve">专家组签名：       </w:t>
            </w:r>
          </w:p>
          <w:p>
            <w:pPr>
              <w:widowControl/>
              <w:wordWrap w:val="0"/>
              <w:spacing w:line="360" w:lineRule="auto"/>
              <w:ind w:right="480"/>
              <w:rPr>
                <w:rFonts w:hint="eastAsia" w:ascii="仿宋_GB2312" w:hAnsi="宋体" w:eastAsia="仿宋_GB2312" w:cs="宋体"/>
                <w:kern w:val="0"/>
                <w:sz w:val="24"/>
              </w:rPr>
            </w:pPr>
            <w:r>
              <w:rPr>
                <w:rFonts w:hint="eastAsia" w:ascii="仿宋_GB2312" w:hAnsi="宋体" w:eastAsia="仿宋_GB2312" w:cs="宋体"/>
                <w:kern w:val="0"/>
                <w:sz w:val="24"/>
              </w:rPr>
              <w:t xml:space="preserve">             </w:t>
            </w:r>
          </w:p>
          <w:p>
            <w:pPr>
              <w:widowControl/>
              <w:spacing w:line="360" w:lineRule="auto"/>
              <w:jc w:val="right"/>
              <w:rPr>
                <w:rFonts w:hint="eastAsia" w:ascii="仿宋_GB2312" w:hAnsi="宋体" w:eastAsia="仿宋_GB2312" w:cs="宋体"/>
                <w:kern w:val="0"/>
                <w:sz w:val="24"/>
              </w:rPr>
            </w:pPr>
          </w:p>
          <w:p>
            <w:pPr>
              <w:widowControl/>
              <w:spacing w:line="360" w:lineRule="auto"/>
              <w:jc w:val="right"/>
              <w:rPr>
                <w:rFonts w:hint="eastAsia" w:ascii="仿宋_GB2312" w:hAnsi="宋体" w:eastAsia="仿宋_GB2312" w:cs="宋体"/>
                <w:kern w:val="0"/>
                <w:sz w:val="24"/>
              </w:rPr>
            </w:pPr>
          </w:p>
          <w:p>
            <w:pPr>
              <w:widowControl/>
              <w:spacing w:line="360" w:lineRule="auto"/>
              <w:jc w:val="right"/>
              <w:rPr>
                <w:rFonts w:hint="eastAsia" w:ascii="仿宋_GB2312" w:hAnsi="宋体" w:eastAsia="仿宋_GB2312" w:cs="宋体"/>
                <w:kern w:val="0"/>
                <w:sz w:val="24"/>
              </w:rPr>
            </w:pPr>
          </w:p>
          <w:p>
            <w:pPr>
              <w:widowControl/>
              <w:wordWrap w:val="0"/>
              <w:spacing w:line="360" w:lineRule="auto"/>
              <w:jc w:val="right"/>
              <w:rPr>
                <w:rFonts w:hint="eastAsia" w:ascii="仿宋_GB2312" w:hAnsi="宋体" w:eastAsia="仿宋_GB2312" w:cs="宋体"/>
                <w:kern w:val="0"/>
                <w:sz w:val="24"/>
              </w:rPr>
            </w:pPr>
            <w:r>
              <w:rPr>
                <w:rFonts w:hint="eastAsia" w:ascii="仿宋_GB2312" w:hAnsi="宋体" w:eastAsia="仿宋_GB2312" w:cs="宋体"/>
                <w:kern w:val="0"/>
                <w:sz w:val="24"/>
              </w:rPr>
              <w:t>年     月    日</w:t>
            </w:r>
          </w:p>
        </w:tc>
      </w:tr>
    </w:tbl>
    <w:p>
      <w:pPr>
        <w:rPr>
          <w:rFonts w:hint="eastAsia"/>
          <w:szCs w:val="21"/>
        </w:rPr>
      </w:pPr>
      <w:r>
        <w:t xml:space="preserve"> </w:t>
      </w:r>
    </w:p>
    <w:p>
      <w:pPr>
        <w:jc w:val="left"/>
      </w:pPr>
    </w:p>
    <w:sectPr>
      <w:footerReference r:id="rId3" w:type="default"/>
      <w:footerReference r:id="rId4" w:type="even"/>
      <w:pgSz w:w="11906" w:h="16838"/>
      <w:pgMar w:top="1276" w:right="1588" w:bottom="1531"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00"/>
    <w:family w:val="auto"/>
    <w:pitch w:val="default"/>
    <w:sig w:usb0="00000000" w:usb1="00000000" w:usb2="00000000" w:usb3="00000000" w:csb0="00040001" w:csb1="00000000"/>
  </w:font>
  <w:font w:name="Courier New">
    <w:panose1 w:val="02070309020205020404"/>
    <w:charset w:val="00"/>
    <w:family w:val="modern"/>
    <w:pitch w:val="default"/>
    <w:sig w:usb0="E0002AFF" w:usb1="C0007843" w:usb2="00000009" w:usb3="00000000" w:csb0="400001FF" w:csb1="FFFF0000"/>
  </w:font>
  <w:font w:name="方正小标宋简体">
    <w:altName w:val="Arial Unicode MS"/>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创艺简标宋">
    <w:altName w:val="Times New Roman"/>
    <w:panose1 w:val="00000000000000000000"/>
    <w:charset w:val="00"/>
    <w:family w:val="auto"/>
    <w:pitch w:val="default"/>
    <w:sig w:usb0="00000000" w:usb1="00000000" w:usb2="00000000" w:usb3="00000000" w:csb0="00040001"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rPr>
    </w:pPr>
    <w:r>
      <w:rPr>
        <w:rStyle w:val="4"/>
      </w:rPr>
      <w:fldChar w:fldCharType="begin"/>
    </w:r>
    <w:r>
      <w:rPr>
        <w:rStyle w:val="4"/>
      </w:rPr>
      <w:instrText xml:space="preserve">PAGE  </w:instrText>
    </w:r>
    <w:r>
      <w:rPr>
        <w:rStyle w:val="4"/>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525EC1"/>
    <w:rsid w:val="74525EC1"/>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3">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character" w:styleId="4">
    <w:name w:val="page number"/>
    <w:basedOn w:val="3"/>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Office_10.1.0.6135_F1E327BC-269C-435d-A152-05C5408002CA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2016-12-26T09:45:00Z</dcterms:created>
  <dc:creator>user</dc:creator>
  <cp:lastModifiedBy>user</cp:lastModifiedBy>
  <dcterms:modified xsi:type="dcterms:W3CDTF">2016-12-26T09:45:56Z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2052-10.1.0.6135</vt:lpwstr>
  </property>
</Properties>
</file>