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专项职业能力考核目录</w:t>
      </w:r>
    </w:p>
    <w:bookmarkEnd w:id="0"/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1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9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专项职业能力考核项目名称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视频监控技术应用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首饰执模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计算机直接制版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海德堡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牌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CTP制版机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计算机直接制版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柯达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牌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CTP制版机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4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单片机控制系统开发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5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嵌入式系统开发（LabVIEW编程）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6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深派风味菜烹饪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7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广府风味菜烹饪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8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广式点心制作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9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广东烧味制作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10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潮式风味菜烹饪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11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潮式卤</w:t>
            </w:r>
            <w:r>
              <w:rPr>
                <w:rFonts w:hint="eastAsia" w:ascii="仿宋_GB2312" w:hAnsi="仿宋" w:eastAsia="仿宋_GB2312"/>
                <w:sz w:val="24"/>
              </w:rPr>
              <w:t>味</w:t>
            </w:r>
            <w:r>
              <w:rPr>
                <w:rFonts w:ascii="仿宋_GB2312" w:hAnsi="仿宋" w:eastAsia="仿宋_GB2312"/>
                <w:sz w:val="24"/>
              </w:rPr>
              <w:t>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客家风味菜烹饪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家庭保洁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家庭餐料理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6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母婴生活照护</w:t>
            </w:r>
          </w:p>
        </w:tc>
      </w:tr>
    </w:tbl>
    <w:p>
      <w:r>
        <w:rPr>
          <w:rFonts w:hint="eastAsia" w:ascii="楷体_GB2312" w:hAnsi="楷体" w:eastAsia="楷体_GB2312"/>
          <w:sz w:val="28"/>
          <w:szCs w:val="28"/>
          <w:lang w:eastAsia="zh-CN"/>
        </w:rPr>
        <w:t>备注：其中，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7-15项目采用线上加线下的考核方式。按要求完成高技能人才在线实训平台在线培训课程，且线上考核合格的，核计该专项职业能力考核成绩20分；线下考核80分。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84AB0"/>
    <w:rsid w:val="45F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2020-03-16T01:45:00Z</dcterms:created>
  <dc:creator>李叶紫</dc:creator>
  <cp:lastModifiedBy>李叶紫</cp:lastModifiedBy>
  <dcterms:modified xsi:type="dcterms:W3CDTF">2020-03-16T01:46:11Z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