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社会化鉴定职业资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格和专项职业能力</w:t>
      </w:r>
    </w:p>
    <w:p>
      <w:pPr>
        <w:spacing w:line="580" w:lineRule="exact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报名及考核日期安排表</w:t>
      </w:r>
    </w:p>
    <w:p>
      <w:pPr>
        <w:spacing w:line="580" w:lineRule="exact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 xml:space="preserve"> </w:t>
      </w:r>
    </w:p>
    <w:tbl>
      <w:tblPr>
        <w:tblStyle w:val="3"/>
        <w:tblW w:w="89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845"/>
        <w:gridCol w:w="2085"/>
        <w:gridCol w:w="30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批次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报名日期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考核日期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10月17日开始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技师、高级技师综合评审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12月1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（职业院校学生专场）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12月26日开始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技师、高级技师综合评审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sz w:val="24"/>
              </w:rPr>
              <w:t>日至12月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</w:tbl>
    <w:p/>
    <w:p>
      <w:r>
        <w:rPr>
          <w:rFonts w:hint="eastAsia" w:ascii="仿宋_GB2312" w:hAnsi="仿宋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506CD"/>
    <w:rsid w:val="71D5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2020-06-09T03:21:00Z</dcterms:created>
  <dc:creator>Administrator</dc:creator>
  <cp:lastModifiedBy>Administrator</cp:lastModifiedBy>
  <dcterms:modified xsi:type="dcterms:W3CDTF">2020-06-09T03:22:02Z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