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门店营运管理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专项职业能力考核规范</w:t>
      </w: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（2020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0</w:t>
      </w:r>
      <w:r>
        <w:rPr>
          <w:rFonts w:ascii="宋体" w:hAnsi="宋体" w:cs="宋体"/>
          <w:kern w:val="0"/>
          <w:sz w:val="32"/>
          <w:szCs w:val="32"/>
        </w:rPr>
        <w:t>8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-</w:t>
      </w:r>
      <w:r>
        <w:rPr>
          <w:rFonts w:hint="eastAsia" w:ascii="宋体" w:hAnsi="宋体" w:cs="宋体"/>
          <w:kern w:val="0"/>
          <w:sz w:val="32"/>
          <w:szCs w:val="32"/>
        </w:rPr>
        <w:t>V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1.0</w:t>
      </w:r>
      <w:r>
        <w:rPr>
          <w:rFonts w:hint="eastAsia" w:ascii="宋体" w:hAnsi="宋体" w:cs="宋体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一、定义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在连锁企业中运用业态定位、品类管理、店铺营运、顾客服务、视觉营销、数字化技术等知识推动连锁体系运行，尤其是对店铺业绩提升负主要责任的营运业务的经营管理者。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二、适用对象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运用或准备运用本项能力求职、就业的人员。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三、能力标准和鉴定的内容</w:t>
      </w:r>
    </w:p>
    <w:tbl>
      <w:tblPr>
        <w:tblStyle w:val="3"/>
        <w:tblW w:w="9285" w:type="dxa"/>
        <w:jc w:val="center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3344"/>
        <w:gridCol w:w="208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能力名称：门店营运管理                        职业领域：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批发和零售业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操作规范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相关知识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考核比重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（一）连锁体系搭建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1、能够以经营数据为根本，建立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直营与特许体系搭建；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2、根据需求，能进行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总部与门店权责切割；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3、制定相关的管理体系，完成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总部对门店营运管控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4、能够运用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商圈调研与选址技术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，规划门店布局。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组织的架构设计及管控技术。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GIS-Retail软件使用；用户画像技术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（二）品类管理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1、能够以数据为依托，根据商店的定位和战略，确定不同品类的角色。通过模拟销售额、利润率、资源投入（货架等），计算出总体和分类的销售额、毛利率、净利润、各指标比重等。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2、掌握商品销售、利润、库存等评估指标，能够进行零售商总体表现、品类发展趋势、市场及竞争对手评估。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1、品类的管理认知、组合单品配置、角色定位等知识。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2、品类的目标制定、战术制定等知识。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（三）商品经营管理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1、根据客户订单需求，掌握商品的进货、销售和储存能力；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2、根据库存情况，能够策划门店促销活动并组织实施；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3、掌握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1"/>
                <w:szCs w:val="21"/>
                <w:shd w:val="clear" w:color="auto" w:fill="FFFFFF"/>
              </w:rPr>
              <w:t>连锁商业的商品分类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1"/>
                <w:szCs w:val="21"/>
                <w:shd w:val="clear" w:color="auto" w:fill="FFFFFF"/>
              </w:rPr>
              <w:t>商品代码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1"/>
                <w:szCs w:val="21"/>
                <w:shd w:val="clear" w:color="auto" w:fill="FFFFFF"/>
              </w:rPr>
              <w:t>商品配置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sz w:val="21"/>
                <w:szCs w:val="21"/>
                <w:shd w:val="clear" w:color="auto" w:fill="FFFFFF"/>
                <w:lang w:eastAsia="zh-CN"/>
              </w:rPr>
              <w:t>、陈列方法。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1、门店布局与商品陈列知识。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2、连锁企业配送实务知识。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（四）顾管服务管理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1、能够运用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行业POS+MIS系统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微信、APP等新媒体工具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对顾客进行全数据化管理；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2、掌握数据分析工具，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服务数字化的全链路管理技术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1、微信、APP等新媒体使用知识。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2、数据分析知识。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四、鉴定要求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达到法定劳动年龄，具有相应技能的劳动者均可申报；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考评员构成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考评员应具备一定连锁体系搭建操作经验，每个考评有组不少于3名考评员；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鉴定方式与鉴定时间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技能操作考核采取理论与实际操作考核。其中理论考核不少于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分钟，技能操作不少于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90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分钟。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鉴定场地设备要求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考场面积不小于50平方米，理论与技能考核的设施、设备齐全，室内采光良好、通风、供排水良好，整洁无干扰。安全符合国家相关规定标准。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设备清单：</w:t>
      </w:r>
    </w:p>
    <w:tbl>
      <w:tblPr>
        <w:tblStyle w:val="2"/>
        <w:tblW w:w="87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2410"/>
        <w:gridCol w:w="2835"/>
        <w:gridCol w:w="170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规格型号或技术要求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数量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left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580" w:lineRule="exact"/>
              <w:jc w:val="left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基本配置：操作系统WIN7或W</w:t>
            </w:r>
            <w:r>
              <w:rPr>
                <w:rFonts w:ascii="宋体" w:hAnsi="宋体"/>
                <w:sz w:val="21"/>
                <w:szCs w:val="21"/>
              </w:rPr>
              <w:t>IN10</w:t>
            </w:r>
            <w:r>
              <w:rPr>
                <w:rFonts w:hint="eastAsia" w:ascii="宋体" w:hAnsi="宋体"/>
                <w:sz w:val="21"/>
                <w:szCs w:val="21"/>
              </w:rPr>
              <w:t>，内存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G，硬盘128G，显示器17英寸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每工位1台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F0B3"/>
    <w:multiLevelType w:val="singleLevel"/>
    <w:tmpl w:val="5E6EF0B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E6140"/>
    <w:rsid w:val="072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2021-02-23T03:21:00Z</dcterms:created>
  <dc:creator>ylx</dc:creator>
  <cp:lastModifiedBy>ylx</cp:lastModifiedBy>
  <dcterms:modified xsi:type="dcterms:W3CDTF">2021-02-23T03:22:23Z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