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" w:hAnsi="仿宋" w:eastAsia="仿宋" w:cs="仿宋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附件1：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  <w:t>服务项目表</w:t>
      </w:r>
    </w:p>
    <w:bookmarkEnd w:id="0"/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</w:p>
    <w:tbl>
      <w:tblPr>
        <w:tblStyle w:val="4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150"/>
        <w:gridCol w:w="640"/>
        <w:gridCol w:w="720"/>
        <w:gridCol w:w="4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1" w:type="dxa"/>
            <w:noWrap/>
            <w:vAlign w:val="top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服务项目名称</w:t>
            </w:r>
          </w:p>
        </w:tc>
        <w:tc>
          <w:tcPr>
            <w:tcW w:w="1150" w:type="dxa"/>
            <w:noWrap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服务细项</w:t>
            </w:r>
          </w:p>
        </w:tc>
        <w:tc>
          <w:tcPr>
            <w:tcW w:w="64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720" w:type="dxa"/>
            <w:noWrap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4591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01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平台搭建</w:t>
            </w:r>
          </w:p>
        </w:tc>
        <w:tc>
          <w:tcPr>
            <w:tcW w:w="1150" w:type="dxa"/>
            <w:noWrap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网站定制</w:t>
            </w:r>
          </w:p>
        </w:tc>
        <w:tc>
          <w:tcPr>
            <w:tcW w:w="64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套</w:t>
            </w:r>
          </w:p>
        </w:tc>
        <w:tc>
          <w:tcPr>
            <w:tcW w:w="720" w:type="dxa"/>
            <w:noWrap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4591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通过响应式和自适应等技术相结合搭建交互型网站，同时适配电脑、平板、手机等多终端。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01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lang w:val="en-US" w:eastAsia="zh-CN"/>
              </w:rPr>
              <w:t>页面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设计</w:t>
            </w:r>
          </w:p>
        </w:tc>
        <w:tc>
          <w:tcPr>
            <w:tcW w:w="1150" w:type="dxa"/>
            <w:noWrap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4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款</w:t>
            </w:r>
          </w:p>
        </w:tc>
        <w:tc>
          <w:tcPr>
            <w:tcW w:w="720" w:type="dxa"/>
            <w:noWrap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4591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对活动的网站平台、宣传页面等进行设计。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1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PC端广告</w:t>
            </w:r>
          </w:p>
        </w:tc>
        <w:tc>
          <w:tcPr>
            <w:tcW w:w="1150" w:type="dxa"/>
            <w:noWrap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4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20" w:type="dxa"/>
            <w:noWrap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591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网站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图片广告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专区大横幅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广告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1" w:type="dxa"/>
            <w:noWrap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新媒体宣传包</w:t>
            </w:r>
          </w:p>
        </w:tc>
        <w:tc>
          <w:tcPr>
            <w:tcW w:w="1150" w:type="dxa"/>
            <w:noWrap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主流媒体</w:t>
            </w:r>
          </w:p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平台宣传</w:t>
            </w:r>
          </w:p>
        </w:tc>
        <w:tc>
          <w:tcPr>
            <w:tcW w:w="640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720" w:type="dxa"/>
            <w:noWrap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4591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主流媒体多平台同时开展宣传。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1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高校信息发布</w:t>
            </w:r>
          </w:p>
        </w:tc>
        <w:tc>
          <w:tcPr>
            <w:tcW w:w="1150" w:type="dxa"/>
            <w:noWrap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高校就业网信息发布</w:t>
            </w:r>
          </w:p>
        </w:tc>
        <w:tc>
          <w:tcPr>
            <w:tcW w:w="64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20" w:type="dxa"/>
            <w:noWrap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120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以上</w:t>
            </w:r>
          </w:p>
        </w:tc>
        <w:tc>
          <w:tcPr>
            <w:tcW w:w="4591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依学校规定，对目标高校就业网进行信息投放。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01" w:type="dxa"/>
            <w:vMerge w:val="continue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noWrap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论坛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信息</w:t>
            </w:r>
          </w:p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发布</w:t>
            </w:r>
          </w:p>
        </w:tc>
        <w:tc>
          <w:tcPr>
            <w:tcW w:w="64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20" w:type="dxa"/>
            <w:noWrap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100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以上</w:t>
            </w:r>
          </w:p>
        </w:tc>
        <w:tc>
          <w:tcPr>
            <w:tcW w:w="4591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对目标高校论坛进行5轮特定内容投放。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1" w:type="dxa"/>
            <w:vMerge w:val="continue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校园订阅号广告</w:t>
            </w:r>
          </w:p>
        </w:tc>
        <w:tc>
          <w:tcPr>
            <w:tcW w:w="64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条</w:t>
            </w:r>
          </w:p>
        </w:tc>
        <w:tc>
          <w:tcPr>
            <w:tcW w:w="720" w:type="dxa"/>
            <w:noWrap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以上</w:t>
            </w:r>
          </w:p>
        </w:tc>
        <w:tc>
          <w:tcPr>
            <w:tcW w:w="4591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投放平台校园订阅号头条广告位。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01" w:type="dxa"/>
            <w:vMerge w:val="continue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noWrap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线下校园</w:t>
            </w:r>
          </w:p>
          <w:p>
            <w:pPr>
              <w:jc w:val="both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推广</w:t>
            </w:r>
          </w:p>
        </w:tc>
        <w:tc>
          <w:tcPr>
            <w:tcW w:w="64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条</w:t>
            </w:r>
          </w:p>
        </w:tc>
        <w:tc>
          <w:tcPr>
            <w:tcW w:w="720" w:type="dxa"/>
            <w:noWrap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3500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以上</w:t>
            </w:r>
          </w:p>
        </w:tc>
        <w:tc>
          <w:tcPr>
            <w:tcW w:w="4591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利用平台线下校园的优势，发动高校学生将企业推广信息转发至朋友圈。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01" w:type="dxa"/>
            <w:vMerge w:val="continue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noWrap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定向DM</w:t>
            </w:r>
          </w:p>
        </w:tc>
        <w:tc>
          <w:tcPr>
            <w:tcW w:w="64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条</w:t>
            </w:r>
          </w:p>
        </w:tc>
        <w:tc>
          <w:tcPr>
            <w:tcW w:w="720" w:type="dxa"/>
            <w:noWrap/>
            <w:vAlign w:val="top"/>
          </w:tcPr>
          <w:p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10万以上</w:t>
            </w:r>
          </w:p>
        </w:tc>
        <w:tc>
          <w:tcPr>
            <w:tcW w:w="4591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匹配符合条件的目标受众，进行推广信息的短信通知。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1" w:type="dxa"/>
            <w:noWrap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项目管理</w:t>
            </w:r>
          </w:p>
        </w:tc>
        <w:tc>
          <w:tcPr>
            <w:tcW w:w="1150" w:type="dxa"/>
            <w:noWrap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税费</w:t>
            </w:r>
          </w:p>
        </w:tc>
        <w:tc>
          <w:tcPr>
            <w:tcW w:w="64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元</w:t>
            </w:r>
          </w:p>
        </w:tc>
        <w:tc>
          <w:tcPr>
            <w:tcW w:w="720" w:type="dxa"/>
            <w:noWrap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4591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 w:ascii="微软雅黑" w:hAnsi="微软雅黑" w:eastAsia="微软雅黑" w:cs="Times New Roman"/>
          <w:color w:val="auto"/>
          <w:kern w:val="2"/>
          <w:sz w:val="18"/>
          <w:szCs w:val="18"/>
          <w:shd w:val="clear" w:color="auto" w:fill="auto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sz w:val="18"/>
          <w:szCs w:val="18"/>
          <w:lang w:val="en-US" w:eastAsia="zh-CN"/>
        </w:rPr>
        <w:t>注：</w:t>
      </w:r>
      <w:r>
        <w:rPr>
          <w:rFonts w:hint="eastAsia" w:ascii="微软雅黑" w:hAnsi="微软雅黑" w:eastAsia="微软雅黑" w:cs="Times New Roman"/>
          <w:sz w:val="18"/>
          <w:szCs w:val="18"/>
        </w:rPr>
        <w:t>被委托方应保证参与活动报名企业数超过500家，职位发布数量1200个以上，简历接收1.5W份以上。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140A4"/>
    <w:rsid w:val="5DC140A4"/>
    <w:rsid w:val="73E2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2021-10-14T03:02:00Z</dcterms:created>
  <dc:creator>Leo</dc:creator>
  <cp:lastModifiedBy>Leo</cp:lastModifiedBy>
  <dcterms:modified xsi:type="dcterms:W3CDTF">2021-10-14T03:03:18Z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756C57B8FCD548749F347809573BC38C</vt:lpwstr>
  </property>
</Properties>
</file>