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spacing w:before="454" w:beforeAutospacing="0" w:after="60" w:afterAutospacing="0"/>
        <w:ind w:left="454" w:right="454"/>
        <w:jc w:val="center"/>
        <w:outlineLvl w:val="0"/>
        <w:rPr>
          <w:sz w:val="40"/>
          <w:szCs w:val="40"/>
        </w:rPr>
      </w:pPr>
      <w:bookmarkStart w:id="0" w:name="_Toc54411727"/>
      <w:bookmarkStart w:id="1" w:name="_Toc35941123"/>
      <w:bookmarkStart w:id="2" w:name="_Toc169000575"/>
      <w:bookmarkStart w:id="3" w:name="_Toc36268836"/>
      <w:bookmarkStart w:id="4" w:name="_Toc3785634"/>
      <w:bookmarkStart w:id="5" w:name="_Toc40761342"/>
      <w:bookmarkStart w:id="6" w:name="_Toc98672985"/>
      <w:bookmarkStart w:id="7" w:name="_Toc53335573"/>
      <w:bookmarkStart w:id="8" w:name="_Toc108257412"/>
      <w:bookmarkStart w:id="9" w:name="_Toc52762558"/>
      <w:bookmarkStart w:id="10" w:name="_Toc3785672"/>
      <w:bookmarkStart w:id="11" w:name="_Toc35599963"/>
      <w:bookmarkStart w:id="12" w:name="_Toc87857942"/>
      <w:bookmarkStart w:id="13" w:name="_Toc93397579"/>
      <w:bookmarkStart w:id="14" w:name="_Toc59932976"/>
      <w:bookmarkStart w:id="15" w:name="_Toc93397981"/>
      <w:bookmarkStart w:id="16" w:name="_Toc35068741"/>
      <w:bookmarkStart w:id="17" w:name="_Toc60130048"/>
      <w:bookmarkStart w:id="18" w:name="_Toc34789931"/>
      <w:bookmarkStart w:id="19" w:name="_Toc34984079"/>
      <w:bookmarkStart w:id="20" w:name="_Toc3785510"/>
      <w:bookmarkStart w:id="21" w:name="_Toc128884465"/>
      <w:bookmarkStart w:id="22" w:name="_Toc105389149"/>
      <w:bookmarkStart w:id="23" w:name="_Toc108257394"/>
      <w:bookmarkStart w:id="24" w:name="_Toc108257113"/>
      <w:bookmarkStart w:id="25" w:name="_Toc34703819"/>
      <w:bookmarkStart w:id="26" w:name="_Toc36123667"/>
      <w:bookmarkStart w:id="27" w:name="_Toc108260362"/>
      <w:bookmarkStart w:id="28" w:name="_Toc35742630"/>
      <w:bookmarkStart w:id="29" w:name="_Toc35068739"/>
      <w:bookmarkStart w:id="30" w:name="_Toc108257463"/>
      <w:bookmarkStart w:id="31" w:name="_Toc34991005"/>
      <w:bookmarkStart w:id="32" w:name="_Toc34703821"/>
      <w:bookmarkStart w:id="33" w:name="_Toc54430014"/>
      <w:bookmarkStart w:id="34" w:name="_Toc34932583"/>
      <w:bookmarkStart w:id="35" w:name="_Toc54430892"/>
      <w:bookmarkStart w:id="36" w:name="_Toc3785458"/>
      <w:bookmarkStart w:id="37" w:name="_Toc53335524"/>
      <w:bookmarkStart w:id="38" w:name="_Toc33953159"/>
      <w:bookmarkStart w:id="39" w:name="_Toc35071895"/>
      <w:bookmarkStart w:id="40" w:name="_Toc54430621"/>
      <w:bookmarkStart w:id="41" w:name="_Toc98731627"/>
      <w:bookmarkStart w:id="42" w:name="_Toc60127399"/>
      <w:bookmarkStart w:id="43" w:name="_Toc35107770"/>
      <w:bookmarkStart w:id="44" w:name="_Toc35622005"/>
      <w:bookmarkStart w:id="45" w:name="_Toc52738719"/>
      <w:bookmarkStart w:id="46" w:name="_Toc34987223"/>
      <w:bookmarkStart w:id="47" w:name="_Toc35071893"/>
      <w:bookmarkStart w:id="48" w:name="_Toc33953161"/>
      <w:bookmarkStart w:id="49" w:name="_Toc34745147"/>
      <w:bookmarkStart w:id="50" w:name="_Toc35107768"/>
      <w:bookmarkStart w:id="51" w:name="_Toc35599965"/>
      <w:bookmarkStart w:id="52" w:name="_Toc54430945"/>
      <w:bookmarkStart w:id="53" w:name="_Toc93397928"/>
      <w:bookmarkStart w:id="54" w:name="_Toc35222534"/>
      <w:bookmarkStart w:id="55" w:name="_Toc93397526"/>
      <w:bookmarkStart w:id="56" w:name="_Toc98672934"/>
      <w:bookmarkStart w:id="57" w:name="_Toc108260310"/>
      <w:bookmarkStart w:id="58" w:name="_Toc108257535"/>
      <w:bookmarkStart w:id="59" w:name="_Toc34789933"/>
      <w:bookmarkStart w:id="60" w:name="_Toc98731576"/>
      <w:bookmarkStart w:id="61" w:name="_Toc3782108"/>
      <w:bookmarkStart w:id="62" w:name="_Toc108257062"/>
      <w:bookmarkStart w:id="63" w:name="_Toc35742632"/>
      <w:bookmarkStart w:id="64" w:name="_Toc33775515"/>
      <w:bookmarkStart w:id="65" w:name="_Toc35622003"/>
      <w:bookmarkStart w:id="66" w:name="_Toc108257587"/>
      <w:bookmarkStart w:id="67" w:name="_Toc34664276"/>
      <w:bookmarkStart w:id="68" w:name="_Toc34664274"/>
      <w:bookmarkStart w:id="69" w:name="_Toc105389200"/>
      <w:bookmarkStart w:id="70" w:name="_Toc108257343"/>
      <w:bookmarkStart w:id="71" w:name="_Toc34745145"/>
      <w:bookmarkStart w:id="72" w:name="_Toc36146200"/>
      <w:bookmarkStart w:id="73" w:name="_Toc36279301"/>
      <w:bookmarkStart w:id="74" w:name="_Toc33775517"/>
      <w:bookmarkStart w:id="75" w:name="_Toc35222532"/>
      <w:r>
        <w:rPr>
          <w:rFonts w:hint="eastAsia"/>
          <w:sz w:val="40"/>
          <w:szCs w:val="40"/>
        </w:rPr>
        <w:t>深圳市2021年企业薪酬调查及工资指导价位制订项目</w:t>
      </w:r>
    </w:p>
    <w:p>
      <w:pPr>
        <w:pStyle w:val="39"/>
        <w:jc w:val="center"/>
        <w:outlineLvl w:val="1"/>
        <w:rPr>
          <w:rFonts w:ascii="黑体" w:hAnsi="黑体" w:eastAsia="黑体"/>
          <w:sz w:val="40"/>
          <w:szCs w:val="40"/>
        </w:rPr>
      </w:pPr>
      <w:r>
        <w:rPr>
          <w:rFonts w:hint="eastAsia" w:ascii="黑体" w:hAnsi="黑体" w:eastAsia="黑体"/>
          <w:sz w:val="40"/>
          <w:szCs w:val="40"/>
        </w:rPr>
        <w:t>招标文件信息</w:t>
      </w:r>
    </w:p>
    <w:tbl>
      <w:tblPr>
        <w:tblStyle w:val="44"/>
        <w:tblW w:w="7938" w:type="dxa"/>
        <w:jc w:val="center"/>
        <w:tblCellSpacing w:w="0" w:type="dxa"/>
        <w:tblLayout w:type="fixed"/>
        <w:tblCellMar>
          <w:top w:w="45" w:type="dxa"/>
          <w:left w:w="45" w:type="dxa"/>
          <w:bottom w:w="45" w:type="dxa"/>
          <w:right w:w="45" w:type="dxa"/>
        </w:tblCellMar>
      </w:tblPr>
      <w:tblGrid>
        <w:gridCol w:w="2722"/>
        <w:gridCol w:w="5216"/>
      </w:tblGrid>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项目编号：</w:t>
            </w:r>
          </w:p>
        </w:tc>
        <w:tc>
          <w:tcPr>
            <w:tcW w:w="5216" w:type="dxa"/>
            <w:vAlign w:val="center"/>
          </w:tcPr>
          <w:p>
            <w:pPr>
              <w:spacing w:after="60"/>
              <w:rPr>
                <w:rFonts w:ascii="宋体" w:hAnsi="宋体" w:cs="宋体"/>
                <w:sz w:val="30"/>
                <w:szCs w:val="30"/>
              </w:rPr>
            </w:pPr>
            <w:r>
              <w:rPr>
                <w:sz w:val="30"/>
                <w:szCs w:val="30"/>
              </w:rPr>
              <w:t>SZDL2021337876</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项目名称：</w:t>
            </w:r>
          </w:p>
        </w:tc>
        <w:tc>
          <w:tcPr>
            <w:tcW w:w="5216" w:type="dxa"/>
            <w:vAlign w:val="center"/>
          </w:tcPr>
          <w:p>
            <w:pPr>
              <w:spacing w:after="60"/>
              <w:rPr>
                <w:sz w:val="30"/>
                <w:szCs w:val="30"/>
              </w:rPr>
            </w:pPr>
            <w:r>
              <w:rPr>
                <w:rFonts w:hint="eastAsia"/>
                <w:sz w:val="30"/>
                <w:szCs w:val="30"/>
              </w:rPr>
              <w:t>深圳市2021年企业薪酬调查及工资指导价位制订项目</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包 号：</w:t>
            </w:r>
          </w:p>
        </w:tc>
        <w:tc>
          <w:tcPr>
            <w:tcW w:w="5216" w:type="dxa"/>
            <w:vAlign w:val="center"/>
          </w:tcPr>
          <w:p>
            <w:pPr>
              <w:spacing w:after="60"/>
              <w:rPr>
                <w:rFonts w:ascii="宋体" w:hAnsi="宋体" w:cs="宋体"/>
                <w:sz w:val="30"/>
                <w:szCs w:val="30"/>
              </w:rPr>
            </w:pPr>
            <w:r>
              <w:rPr>
                <w:sz w:val="30"/>
                <w:szCs w:val="30"/>
              </w:rPr>
              <w:t>A</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项目类型：</w:t>
            </w:r>
          </w:p>
        </w:tc>
        <w:tc>
          <w:tcPr>
            <w:tcW w:w="5216" w:type="dxa"/>
            <w:vAlign w:val="center"/>
          </w:tcPr>
          <w:p>
            <w:pPr>
              <w:spacing w:after="60"/>
              <w:rPr>
                <w:rFonts w:ascii="宋体" w:hAnsi="宋体" w:cs="宋体"/>
                <w:sz w:val="30"/>
                <w:szCs w:val="30"/>
              </w:rPr>
            </w:pPr>
            <w:r>
              <w:rPr>
                <w:sz w:val="30"/>
                <w:szCs w:val="30"/>
              </w:rPr>
              <w:t>服务类</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采购方式：</w:t>
            </w:r>
          </w:p>
        </w:tc>
        <w:tc>
          <w:tcPr>
            <w:tcW w:w="5216" w:type="dxa"/>
            <w:vAlign w:val="center"/>
          </w:tcPr>
          <w:p>
            <w:pPr>
              <w:spacing w:after="60"/>
              <w:rPr>
                <w:rFonts w:ascii="宋体" w:hAnsi="宋体" w:cs="宋体"/>
                <w:sz w:val="30"/>
                <w:szCs w:val="30"/>
              </w:rPr>
            </w:pPr>
            <w:r>
              <w:rPr>
                <w:sz w:val="30"/>
                <w:szCs w:val="30"/>
              </w:rPr>
              <w:t>公开招标</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货币类型：</w:t>
            </w:r>
          </w:p>
        </w:tc>
        <w:tc>
          <w:tcPr>
            <w:tcW w:w="5216" w:type="dxa"/>
            <w:vAlign w:val="center"/>
          </w:tcPr>
          <w:p>
            <w:pPr>
              <w:spacing w:after="60"/>
              <w:rPr>
                <w:rFonts w:ascii="宋体" w:hAnsi="宋体" w:cs="宋体"/>
                <w:sz w:val="30"/>
                <w:szCs w:val="30"/>
              </w:rPr>
            </w:pPr>
            <w:r>
              <w:rPr>
                <w:sz w:val="30"/>
                <w:szCs w:val="30"/>
              </w:rPr>
              <w:t>人民币</w:t>
            </w:r>
          </w:p>
        </w:tc>
      </w:tr>
      <w:tr>
        <w:tblPrEx>
          <w:tblCellMar>
            <w:top w:w="45" w:type="dxa"/>
            <w:left w:w="45" w:type="dxa"/>
            <w:bottom w:w="45" w:type="dxa"/>
            <w:right w:w="45" w:type="dxa"/>
          </w:tblCellMar>
        </w:tblPrEx>
        <w:trPr>
          <w:trHeight w:val="737" w:hRule="atLeast"/>
          <w:tblCellSpacing w:w="0" w:type="dxa"/>
          <w:jc w:val="center"/>
        </w:trPr>
        <w:tc>
          <w:tcPr>
            <w:tcW w:w="2722" w:type="dxa"/>
            <w:vAlign w:val="center"/>
          </w:tcPr>
          <w:p>
            <w:pPr>
              <w:spacing w:after="60"/>
              <w:jc w:val="right"/>
              <w:rPr>
                <w:rFonts w:ascii="宋体" w:hAnsi="宋体" w:cs="宋体"/>
                <w:sz w:val="30"/>
                <w:szCs w:val="30"/>
              </w:rPr>
            </w:pPr>
            <w:r>
              <w:rPr>
                <w:sz w:val="30"/>
                <w:szCs w:val="30"/>
              </w:rPr>
              <w:t>评标方法：</w:t>
            </w:r>
          </w:p>
        </w:tc>
        <w:tc>
          <w:tcPr>
            <w:tcW w:w="5216" w:type="dxa"/>
            <w:vAlign w:val="center"/>
          </w:tcPr>
          <w:p>
            <w:pPr>
              <w:spacing w:after="60"/>
              <w:rPr>
                <w:rFonts w:ascii="宋体" w:hAnsi="宋体" w:cs="宋体"/>
                <w:sz w:val="30"/>
                <w:szCs w:val="30"/>
              </w:rPr>
            </w:pPr>
            <w:r>
              <w:rPr>
                <w:sz w:val="30"/>
                <w:szCs w:val="30"/>
              </w:rPr>
              <w:t>综合评分法（新价格分算法）</w:t>
            </w:r>
          </w:p>
        </w:tc>
      </w:tr>
    </w:tbl>
    <w:p>
      <w:pPr>
        <w:pStyle w:val="39"/>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rFonts w:hint="eastAsia" w:ascii="宋体" w:hAnsi="宋体"/>
                <w:szCs w:val="21"/>
              </w:rPr>
              <w:t>具有独立法人资格或具有独立承担民事责任的能力的其它组织（提供营业执照或事业单位法人证等法人证明扫描件，原件备查）；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供应商必须具有深圳市政府采购注册供应商资格（在深圳市政府采购供应商库中显示有效，供应商注册网址：http://www.szzfcg.cn，供应商无需提供证明文件，由招标机构进行查询）；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本项目不接受联合体投标，不接受投标人选用进口产品参与投标；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具备《中华人民共和国政府采购法》第二十二条第一款的条件（由供应商在《政府采购投标及履约承诺函》中作出承诺）；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参与本项目投标前三年内，在经营活动中没有重大违法记录（由供应商在《政府采购投标及履约承诺函》中作出承诺）；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参与本项目政府采购活动时不存在被有关部门禁止参与政府采购活动且在有效期内的情况（由供应商在《政府采购投标及履约承诺函》中作出承诺）；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参与本项目政府采购时未被列入失信被执行人、重大税收违法案件当事人名单、政府采购严重违法失信行为记录名单（由供应商在《政府采购投标及履约承诺函》中作出承诺）。</w:t>
            </w:r>
          </w:p>
        </w:tc>
      </w:tr>
    </w:tbl>
    <w:p>
      <w:pPr>
        <w:pStyle w:val="39"/>
        <w:spacing w:before="280" w:beforeAutospacing="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未出现将一个包或一个标段的内容拆开投标；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对同一项目投标时，未提供两套以上的投标方案（招标文件另有规定的除外）；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投标报价符合招标文件要求；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同一项目未出现两个或以上报价；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评标委员会认为投标人的报价明显低于其他通过符合性审查投标人的报价，有可能影响产品质量或者不能诚信履约的，投标人能在合理的时间内提供书面说明，或能提交相关证明材料，投标人能证明其报价合理性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按招标文件所提供的样式填写《投标函》；按招标文件所提供的《政府采购投标及履约承诺函》进行承诺；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投标报价未有严重缺漏项目或未对招标文件规定的服务清单项目及数量进行修改；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投标文件电子文档未带病毒；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投标文件用属于本公司的电子密钥进行加密；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未误选非本项目的最新加密规则文件，投标文件能在开标时解密；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11</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不具有采购文件中列明导致无效投标的其他因素；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after="60"/>
              <w:jc w:val="center"/>
              <w:rPr>
                <w:rFonts w:ascii="宋体" w:hAnsi="宋体" w:cs="宋体"/>
                <w:szCs w:val="21"/>
              </w:rPr>
            </w:pPr>
            <w:r>
              <w:rPr>
                <w:szCs w:val="21"/>
              </w:rPr>
              <w:t>12</w:t>
            </w:r>
          </w:p>
        </w:tc>
        <w:tc>
          <w:tcPr>
            <w:tcW w:w="8278" w:type="dxa"/>
            <w:tcBorders>
              <w:top w:val="single" w:color="000000" w:sz="8" w:space="0"/>
              <w:left w:val="single" w:color="000000" w:sz="8" w:space="0"/>
              <w:bottom w:val="single" w:color="000000" w:sz="8" w:space="0"/>
              <w:right w:val="single" w:color="000000" w:sz="8" w:space="0"/>
            </w:tcBorders>
          </w:tcPr>
          <w:p>
            <w:pPr>
              <w:spacing w:after="60"/>
              <w:rPr>
                <w:rFonts w:ascii="宋体" w:hAnsi="宋体" w:cs="宋体"/>
                <w:szCs w:val="21"/>
              </w:rPr>
            </w:pPr>
            <w:r>
              <w:rPr>
                <w:szCs w:val="21"/>
              </w:rPr>
              <w:t>法律、法规规定的其他情形。</w:t>
            </w:r>
          </w:p>
        </w:tc>
      </w:tr>
    </w:tbl>
    <w:p>
      <w:pPr>
        <w:pStyle w:val="39"/>
        <w:jc w:val="center"/>
        <w:outlineLvl w:val="1"/>
        <w:rPr>
          <w:rFonts w:ascii="黑体" w:hAnsi="黑体" w:eastAsia="黑体"/>
          <w:sz w:val="40"/>
          <w:szCs w:val="40"/>
        </w:rPr>
      </w:pPr>
      <w:r>
        <w:rPr>
          <w:rFonts w:hint="eastAsia" w:ascii="黑体" w:hAnsi="黑体" w:eastAsia="黑体"/>
          <w:sz w:val="40"/>
          <w:szCs w:val="40"/>
        </w:rPr>
        <w:t>评标信息</w:t>
      </w:r>
    </w:p>
    <w:tbl>
      <w:tblPr>
        <w:tblStyle w:val="44"/>
        <w:tblW w:w="9072" w:type="dxa"/>
        <w:jc w:val="center"/>
        <w:tblCellSpacing w:w="0" w:type="dxa"/>
        <w:tblLayout w:type="fixed"/>
        <w:tblCellMar>
          <w:top w:w="45" w:type="dxa"/>
          <w:left w:w="45" w:type="dxa"/>
          <w:bottom w:w="45" w:type="dxa"/>
          <w:right w:w="45" w:type="dxa"/>
        </w:tblCellMar>
      </w:tblPr>
      <w:tblGrid>
        <w:gridCol w:w="8829"/>
        <w:gridCol w:w="243"/>
      </w:tblGrid>
      <w:tr>
        <w:tblPrEx>
          <w:tblCellMar>
            <w:top w:w="45" w:type="dxa"/>
            <w:left w:w="45" w:type="dxa"/>
            <w:bottom w:w="45" w:type="dxa"/>
            <w:right w:w="45" w:type="dxa"/>
          </w:tblCellMar>
        </w:tblPrEx>
        <w:trPr>
          <w:tblCellSpacing w:w="0" w:type="dxa"/>
          <w:jc w:val="center"/>
        </w:trPr>
        <w:tc>
          <w:tcPr>
            <w:tcW w:w="8829" w:type="dxa"/>
            <w:tcBorders>
              <w:top w:val="nil"/>
              <w:left w:val="nil"/>
              <w:bottom w:val="nil"/>
              <w:right w:val="nil"/>
            </w:tcBorders>
            <w:vAlign w:val="center"/>
          </w:tcPr>
          <w:p>
            <w:pPr>
              <w:spacing w:after="60"/>
              <w:rPr>
                <w:rFonts w:ascii="宋体" w:hAnsi="宋体" w:cs="宋体"/>
                <w:b/>
                <w:bCs/>
                <w:sz w:val="24"/>
              </w:rPr>
            </w:pPr>
            <w:r>
              <w:rPr>
                <w:b/>
                <w:bCs/>
              </w:rPr>
              <w:t>评标方法：综合评分法（新价格分算法）</w:t>
            </w:r>
          </w:p>
        </w:tc>
        <w:tc>
          <w:tcPr>
            <w:tcW w:w="243" w:type="dxa"/>
            <w:tcBorders>
              <w:top w:val="nil"/>
              <w:left w:val="nil"/>
              <w:bottom w:val="nil"/>
              <w:right w:val="nil"/>
            </w:tcBorders>
            <w:vAlign w:val="center"/>
          </w:tcPr>
          <w:p>
            <w:pPr>
              <w:spacing w:after="60"/>
              <w:jc w:val="right"/>
              <w:rPr>
                <w:rFonts w:ascii="宋体" w:hAnsi="宋体" w:cs="宋体"/>
                <w:b/>
                <w:bCs/>
                <w:sz w:val="24"/>
              </w:rPr>
            </w:pPr>
          </w:p>
        </w:tc>
      </w:tr>
      <w:tr>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pPr>
              <w:pStyle w:val="39"/>
              <w:spacing w:line="324" w:lineRule="auto"/>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39"/>
              <w:ind w:firstLine="420"/>
              <w:rPr>
                <w:sz w:val="21"/>
                <w:szCs w:val="21"/>
              </w:rPr>
            </w:pPr>
            <w:r>
              <w:rPr>
                <w:sz w:val="21"/>
                <w:szCs w:val="21"/>
              </w:rPr>
              <w:t>价格分计算方法：</w:t>
            </w:r>
          </w:p>
          <w:p>
            <w:pPr>
              <w:pStyle w:val="39"/>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sz w:val="21"/>
                <w:szCs w:val="21"/>
              </w:rPr>
              <w:t xml:space="preserve">此方法适用于货物类、服务类、工程类项目。 </w:t>
            </w:r>
          </w:p>
        </w:tc>
      </w:tr>
    </w:tbl>
    <w:p>
      <w:pPr>
        <w:spacing w:after="60"/>
        <w:rPr>
          <w:vanish/>
        </w:rPr>
      </w:pPr>
    </w:p>
    <w:tbl>
      <w:tblPr>
        <w:tblStyle w:val="4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6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6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spacing w:after="6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技术部分</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rFonts w:hint="eastAsia"/>
                <w:b/>
                <w:bCs/>
                <w:color w:val="0000FF"/>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整体方案</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10</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根据投标文件响应情况进行评审：</w:t>
            </w:r>
          </w:p>
          <w:p>
            <w:pPr>
              <w:spacing w:after="60" w:line="276" w:lineRule="auto"/>
              <w:rPr>
                <w:rFonts w:ascii="宋体" w:hAnsi="宋体"/>
                <w:szCs w:val="21"/>
              </w:rPr>
            </w:pPr>
            <w:r>
              <w:rPr>
                <w:rFonts w:hint="eastAsia" w:ascii="宋体" w:hAnsi="宋体"/>
                <w:szCs w:val="21"/>
              </w:rPr>
              <w:t>1、整体方案完全贴合项目需求，且合理优异的，得100分。</w:t>
            </w:r>
          </w:p>
          <w:p>
            <w:pPr>
              <w:spacing w:after="60" w:line="276" w:lineRule="auto"/>
              <w:rPr>
                <w:rFonts w:ascii="宋体" w:hAnsi="宋体"/>
                <w:szCs w:val="21"/>
              </w:rPr>
            </w:pPr>
            <w:r>
              <w:rPr>
                <w:rFonts w:hint="eastAsia" w:ascii="宋体" w:hAnsi="宋体"/>
                <w:szCs w:val="21"/>
              </w:rPr>
              <w:t>2、整体方案较为贴合项目需求，且较为合理的，得80分。</w:t>
            </w:r>
          </w:p>
          <w:p>
            <w:pPr>
              <w:spacing w:after="60" w:line="276" w:lineRule="auto"/>
              <w:rPr>
                <w:rFonts w:ascii="宋体" w:hAnsi="宋体"/>
                <w:szCs w:val="21"/>
              </w:rPr>
            </w:pPr>
            <w:r>
              <w:rPr>
                <w:rFonts w:hint="eastAsia" w:ascii="宋体" w:hAnsi="宋体"/>
                <w:szCs w:val="21"/>
              </w:rPr>
              <w:t>3、整体方案符合项目需求，且部分合理的，得50分。</w:t>
            </w:r>
          </w:p>
          <w:p>
            <w:pPr>
              <w:spacing w:after="60" w:line="276" w:lineRule="auto"/>
              <w:rPr>
                <w:rFonts w:ascii="宋体" w:hAnsi="宋体"/>
                <w:szCs w:val="21"/>
              </w:rPr>
            </w:pPr>
            <w:r>
              <w:rPr>
                <w:rFonts w:hint="eastAsia" w:ascii="宋体" w:hAnsi="宋体"/>
                <w:szCs w:val="21"/>
              </w:rPr>
              <w:t>4、整体方案符合项目需求，不太合理的，得30分。</w:t>
            </w:r>
          </w:p>
          <w:p>
            <w:pPr>
              <w:spacing w:after="60" w:line="276" w:lineRule="auto"/>
              <w:rPr>
                <w:rFonts w:ascii="宋体" w:hAnsi="宋体"/>
                <w:szCs w:val="21"/>
              </w:rPr>
            </w:pPr>
            <w:r>
              <w:rPr>
                <w:rFonts w:hint="eastAsia" w:ascii="宋体" w:hAnsi="宋体"/>
                <w:szCs w:val="21"/>
              </w:rPr>
              <w:t>5、整体方案不符合项目需求，且不合理的，得10分。</w:t>
            </w:r>
          </w:p>
          <w:p>
            <w:pPr>
              <w:spacing w:after="60" w:line="276" w:lineRule="auto"/>
              <w:rPr>
                <w:rFonts w:ascii="宋体" w:hAnsi="宋体" w:cs="宋体"/>
                <w:szCs w:val="21"/>
              </w:rPr>
            </w:pPr>
            <w:r>
              <w:rPr>
                <w:rFonts w:hint="eastAsia" w:ascii="宋体" w:hAnsi="宋体"/>
                <w:szCs w:val="21"/>
              </w:rPr>
              <w:t>备注：其他不得分，未提供本项响应内容的不得分。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2</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工作安排及合理化建议</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8</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根据投标人的工作方案人员安排、工作计划的合理化程度，对政府部门调查项目的熟悉程度，合理化建议能采纳情况响应情况进行评审：</w:t>
            </w:r>
          </w:p>
          <w:p>
            <w:pPr>
              <w:spacing w:after="60" w:line="276" w:lineRule="auto"/>
              <w:rPr>
                <w:rFonts w:ascii="宋体" w:hAnsi="宋体"/>
                <w:szCs w:val="21"/>
              </w:rPr>
            </w:pPr>
            <w:r>
              <w:rPr>
                <w:rFonts w:hint="eastAsia" w:ascii="宋体" w:hAnsi="宋体"/>
                <w:szCs w:val="21"/>
              </w:rPr>
              <w:t>1、工作方案人员安排合理、工作计划的合理化程度高，对政府部门调查项目的熟悉程度高，合理化建议高效的，得100分。</w:t>
            </w:r>
          </w:p>
          <w:p>
            <w:pPr>
              <w:spacing w:after="60" w:line="276" w:lineRule="auto"/>
              <w:rPr>
                <w:rFonts w:ascii="宋体" w:hAnsi="宋体"/>
                <w:szCs w:val="21"/>
              </w:rPr>
            </w:pPr>
            <w:r>
              <w:rPr>
                <w:rFonts w:hint="eastAsia" w:ascii="宋体" w:hAnsi="宋体"/>
                <w:szCs w:val="21"/>
              </w:rPr>
              <w:t>2、工作方案人员安排合理、工作计划的合理化程度较高，对政府部门调查项目的熟悉程度较好，合理化建议较为合理的，得80分。</w:t>
            </w:r>
          </w:p>
          <w:p>
            <w:pPr>
              <w:spacing w:after="60" w:line="276" w:lineRule="auto"/>
              <w:rPr>
                <w:rFonts w:ascii="宋体" w:hAnsi="宋体"/>
                <w:szCs w:val="21"/>
              </w:rPr>
            </w:pPr>
            <w:r>
              <w:rPr>
                <w:rFonts w:hint="eastAsia" w:ascii="宋体" w:hAnsi="宋体"/>
                <w:szCs w:val="21"/>
              </w:rPr>
              <w:t>3、工作方案人员安排合理、工作计划的合理化程度一般，对政府部门调查项目的熟悉程度一般，合理化建议一般的，得50分。</w:t>
            </w:r>
          </w:p>
          <w:p>
            <w:pPr>
              <w:spacing w:after="60" w:line="276" w:lineRule="auto"/>
              <w:rPr>
                <w:rFonts w:ascii="宋体" w:hAnsi="宋体"/>
                <w:szCs w:val="21"/>
              </w:rPr>
            </w:pPr>
            <w:r>
              <w:rPr>
                <w:rFonts w:hint="eastAsia" w:ascii="宋体" w:hAnsi="宋体"/>
                <w:szCs w:val="21"/>
              </w:rPr>
              <w:t>4、工作方案人员安排较差、工作计划的合理化程度一般，对政府部门调查项目的熟悉程度一般，合理化建议一般的，得30分。</w:t>
            </w:r>
          </w:p>
          <w:p>
            <w:pPr>
              <w:spacing w:after="60" w:line="276" w:lineRule="auto"/>
              <w:rPr>
                <w:rFonts w:ascii="宋体" w:hAnsi="宋体"/>
                <w:szCs w:val="21"/>
              </w:rPr>
            </w:pPr>
            <w:r>
              <w:rPr>
                <w:rFonts w:hint="eastAsia" w:ascii="宋体" w:hAnsi="宋体"/>
                <w:szCs w:val="21"/>
              </w:rPr>
              <w:t>5、工作方案人员安排较差、工作计划的合理化程度较差，对政府部门调查项目的熟悉程度较差，合理化建议不适用的，得10分。</w:t>
            </w:r>
          </w:p>
          <w:p>
            <w:pPr>
              <w:spacing w:after="60" w:line="276" w:lineRule="auto"/>
              <w:rPr>
                <w:rFonts w:ascii="宋体" w:hAnsi="宋体" w:cs="宋体"/>
                <w:szCs w:val="21"/>
              </w:rPr>
            </w:pPr>
            <w:r>
              <w:rPr>
                <w:rFonts w:hint="eastAsia" w:ascii="宋体" w:hAnsi="宋体"/>
                <w:szCs w:val="21"/>
              </w:rPr>
              <w:t>备注：其他不得分，未提供本项响应内容的不得分。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3</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服务保障措施</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ascii="宋体" w:hAnsi="宋体" w:cs="宋体"/>
                <w:szCs w:val="21"/>
              </w:rPr>
              <w:t>7</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根据投标文件对企业方调查人员培训和补助等措施的，响应情况进行评审：</w:t>
            </w:r>
          </w:p>
          <w:p>
            <w:pPr>
              <w:spacing w:after="60" w:line="276" w:lineRule="auto"/>
              <w:rPr>
                <w:rFonts w:ascii="宋体" w:hAnsi="宋体"/>
                <w:szCs w:val="21"/>
              </w:rPr>
            </w:pPr>
            <w:r>
              <w:rPr>
                <w:rFonts w:hint="eastAsia" w:ascii="宋体" w:hAnsi="宋体"/>
                <w:szCs w:val="21"/>
              </w:rPr>
              <w:t>1、对企业方调查人员培训和补助等措施完全符合项目需求，且措施完备的，得100分。</w:t>
            </w:r>
          </w:p>
          <w:p>
            <w:pPr>
              <w:spacing w:after="60" w:line="276" w:lineRule="auto"/>
              <w:rPr>
                <w:rFonts w:ascii="宋体" w:hAnsi="宋体"/>
                <w:szCs w:val="21"/>
              </w:rPr>
            </w:pPr>
            <w:r>
              <w:rPr>
                <w:rFonts w:hint="eastAsia" w:ascii="宋体" w:hAnsi="宋体"/>
                <w:szCs w:val="21"/>
              </w:rPr>
              <w:t>2、对企业方调查人员培训和补助等措施比较符合项目需求，且措施完备的，得80分。</w:t>
            </w:r>
          </w:p>
          <w:p>
            <w:pPr>
              <w:spacing w:after="60" w:line="276" w:lineRule="auto"/>
              <w:rPr>
                <w:rFonts w:ascii="宋体" w:hAnsi="宋体"/>
                <w:szCs w:val="21"/>
              </w:rPr>
            </w:pPr>
            <w:r>
              <w:rPr>
                <w:rFonts w:hint="eastAsia" w:ascii="宋体" w:hAnsi="宋体"/>
                <w:szCs w:val="21"/>
              </w:rPr>
              <w:t>3、对企业方调查人员培训和补助等措施比较符合项目需求，且措施比较完备的，得50分。</w:t>
            </w:r>
          </w:p>
          <w:p>
            <w:pPr>
              <w:spacing w:after="60" w:line="276" w:lineRule="auto"/>
              <w:rPr>
                <w:rFonts w:ascii="宋体" w:hAnsi="宋体"/>
                <w:szCs w:val="21"/>
              </w:rPr>
            </w:pPr>
            <w:r>
              <w:rPr>
                <w:rFonts w:hint="eastAsia" w:ascii="宋体" w:hAnsi="宋体"/>
                <w:szCs w:val="21"/>
              </w:rPr>
              <w:t>4、对企业方调查人员培训和补助等措施一般符合项目需求，且措施不太完备的，得30分。</w:t>
            </w:r>
          </w:p>
          <w:p>
            <w:pPr>
              <w:spacing w:after="60" w:line="276" w:lineRule="auto"/>
              <w:rPr>
                <w:rFonts w:ascii="宋体" w:hAnsi="宋体"/>
                <w:szCs w:val="21"/>
              </w:rPr>
            </w:pPr>
            <w:r>
              <w:rPr>
                <w:rFonts w:hint="eastAsia" w:ascii="宋体" w:hAnsi="宋体"/>
                <w:szCs w:val="21"/>
              </w:rPr>
              <w:t>5、对企业方调查人员培训和补助等措施不符合项目需求，且措施不完备的，得10分。</w:t>
            </w:r>
          </w:p>
          <w:p>
            <w:pPr>
              <w:spacing w:after="60" w:line="276" w:lineRule="auto"/>
              <w:rPr>
                <w:rFonts w:ascii="宋体" w:hAnsi="宋体" w:cs="宋体"/>
                <w:szCs w:val="21"/>
              </w:rPr>
            </w:pPr>
            <w:r>
              <w:rPr>
                <w:rFonts w:hint="eastAsia" w:ascii="宋体" w:hAnsi="宋体"/>
                <w:szCs w:val="21"/>
              </w:rPr>
              <w:t>备注：其他不得分，未提供本项响应内容的不得分。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4</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违约承诺</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5</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根据投标文件对违约承诺的响应情况进行评审：</w:t>
            </w:r>
          </w:p>
          <w:p>
            <w:pPr>
              <w:spacing w:after="60" w:line="276" w:lineRule="auto"/>
              <w:rPr>
                <w:rFonts w:ascii="宋体" w:hAnsi="宋体"/>
                <w:szCs w:val="21"/>
              </w:rPr>
            </w:pPr>
            <w:r>
              <w:rPr>
                <w:rFonts w:hint="eastAsia" w:ascii="宋体" w:hAnsi="宋体"/>
                <w:szCs w:val="21"/>
              </w:rPr>
              <w:t>1、违约承诺完全符合项目需求，且备选计划方案完备的，得100分。</w:t>
            </w:r>
          </w:p>
          <w:p>
            <w:pPr>
              <w:spacing w:after="60" w:line="276" w:lineRule="auto"/>
              <w:rPr>
                <w:rFonts w:ascii="宋体" w:hAnsi="宋体"/>
                <w:szCs w:val="21"/>
              </w:rPr>
            </w:pPr>
            <w:r>
              <w:rPr>
                <w:rFonts w:hint="eastAsia" w:ascii="宋体" w:hAnsi="宋体"/>
                <w:szCs w:val="21"/>
              </w:rPr>
              <w:t>2、违约承诺比较符合项目需求，且备选计划方案完备的，得80分。</w:t>
            </w:r>
          </w:p>
          <w:p>
            <w:pPr>
              <w:spacing w:after="60" w:line="276" w:lineRule="auto"/>
              <w:rPr>
                <w:rFonts w:ascii="宋体" w:hAnsi="宋体"/>
                <w:szCs w:val="21"/>
              </w:rPr>
            </w:pPr>
            <w:r>
              <w:rPr>
                <w:rFonts w:hint="eastAsia" w:ascii="宋体" w:hAnsi="宋体"/>
                <w:szCs w:val="21"/>
              </w:rPr>
              <w:t>3、违约承诺比较符合项目需求，且备选计划方案比较完备的，得50分。</w:t>
            </w:r>
          </w:p>
          <w:p>
            <w:pPr>
              <w:spacing w:after="60" w:line="276" w:lineRule="auto"/>
              <w:rPr>
                <w:rFonts w:ascii="宋体" w:hAnsi="宋体"/>
                <w:szCs w:val="21"/>
              </w:rPr>
            </w:pPr>
            <w:r>
              <w:rPr>
                <w:rFonts w:hint="eastAsia" w:ascii="宋体" w:hAnsi="宋体"/>
                <w:szCs w:val="21"/>
              </w:rPr>
              <w:t>4、违约承诺不太符合项目需求，且备选计划方案比较完备的，得30分。</w:t>
            </w:r>
          </w:p>
          <w:p>
            <w:pPr>
              <w:spacing w:after="60" w:line="276" w:lineRule="auto"/>
              <w:rPr>
                <w:rFonts w:ascii="宋体" w:hAnsi="宋体" w:cs="宋体"/>
                <w:szCs w:val="21"/>
              </w:rPr>
            </w:pPr>
            <w:r>
              <w:rPr>
                <w:rFonts w:hint="eastAsia" w:ascii="宋体" w:hAnsi="宋体"/>
                <w:szCs w:val="21"/>
              </w:rPr>
              <w:t>备注：其他不得分，未提供本项响应内容的不得分。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商务部分</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rFonts w:hint="eastAsia"/>
                <w:b/>
                <w:bCs/>
                <w:color w:val="0000FF"/>
              </w:rPr>
              <w:t>43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同类业绩</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18</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人2018年1月1日（以合同签订时间为准）至本项目投标截止之日承接企业薪酬调查项目（调查对象1500家以上）业务案例情况进行评分：每提供1项有效业绩得10分，不同年份合作的同一客户不重复计分，最高得100分。</w:t>
            </w:r>
          </w:p>
          <w:p>
            <w:pPr>
              <w:spacing w:after="60" w:line="276" w:lineRule="auto"/>
              <w:rPr>
                <w:rFonts w:ascii="宋体" w:hAnsi="宋体" w:cs="宋体"/>
                <w:szCs w:val="21"/>
              </w:rPr>
            </w:pPr>
            <w:r>
              <w:rPr>
                <w:rFonts w:hint="eastAsia" w:ascii="宋体" w:hAnsi="宋体"/>
                <w:szCs w:val="21"/>
              </w:rPr>
              <w:t>提供合同关键页等证明文件扫描件，未提供或所提供的证明材料无法判断是否符合得分条件的不计分。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2</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6</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1、具有研究生学历的，得30分。</w:t>
            </w:r>
          </w:p>
          <w:p>
            <w:pPr>
              <w:spacing w:after="60" w:line="276" w:lineRule="auto"/>
              <w:rPr>
                <w:rFonts w:ascii="宋体" w:hAnsi="宋体"/>
                <w:szCs w:val="21"/>
              </w:rPr>
            </w:pPr>
            <w:r>
              <w:rPr>
                <w:rFonts w:hint="eastAsia" w:ascii="宋体" w:hAnsi="宋体"/>
                <w:szCs w:val="21"/>
              </w:rPr>
              <w:t>2、具有中级及以上职称的，得30分。</w:t>
            </w:r>
          </w:p>
          <w:p>
            <w:pPr>
              <w:spacing w:after="60" w:line="276" w:lineRule="auto"/>
              <w:rPr>
                <w:rFonts w:ascii="宋体" w:hAnsi="宋体"/>
                <w:szCs w:val="21"/>
              </w:rPr>
            </w:pPr>
            <w:r>
              <w:rPr>
                <w:rFonts w:hint="eastAsia" w:ascii="宋体" w:hAnsi="宋体"/>
                <w:szCs w:val="21"/>
              </w:rPr>
              <w:t>3、作为项目负责人（项目经理）承担过企业薪酬调查项目（调查企业数量为1500家以上）的，得40分。</w:t>
            </w:r>
          </w:p>
          <w:p>
            <w:pPr>
              <w:spacing w:after="60" w:line="276" w:lineRule="auto"/>
              <w:rPr>
                <w:rFonts w:ascii="宋体" w:hAnsi="宋体" w:cs="宋体"/>
                <w:szCs w:val="21"/>
              </w:rPr>
            </w:pPr>
            <w:r>
              <w:rPr>
                <w:rFonts w:hint="eastAsia" w:ascii="宋体" w:hAnsi="宋体"/>
                <w:szCs w:val="21"/>
              </w:rPr>
              <w:t>提供项目负责人2021年1月-2021年3月在投标单位缴纳的社保证明；提供项目负责人学历证书、职称证书及工作经验证明材料扫描件，未提供或所提供的证明材料无法判断是否符合得分条件的不计分。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3</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拟安排的项目团队成员情况（项目负责人除外）</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6</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拟安排的团队成员中具有中级及以上职称的，每1名得25分，最高得100分。</w:t>
            </w:r>
          </w:p>
          <w:p>
            <w:pPr>
              <w:spacing w:after="60" w:line="276" w:lineRule="auto"/>
              <w:rPr>
                <w:rFonts w:ascii="宋体" w:hAnsi="宋体" w:cs="宋体"/>
                <w:szCs w:val="21"/>
              </w:rPr>
            </w:pPr>
            <w:r>
              <w:rPr>
                <w:rFonts w:hint="eastAsia" w:ascii="宋体" w:hAnsi="宋体"/>
                <w:szCs w:val="21"/>
              </w:rPr>
              <w:t>提供项目团队成员2021年1月-2021年3月在投标单位缴纳的社保证明；提供项目团队成员职称证书扫描件；未提供或所提供的证明材料无法判断是否符合得分条件的不计分。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4</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企业认证</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7</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1、具有ISO27001信息安全管理体系认证证书，得60分。</w:t>
            </w:r>
          </w:p>
          <w:p>
            <w:pPr>
              <w:spacing w:after="60" w:line="276" w:lineRule="auto"/>
              <w:rPr>
                <w:rFonts w:ascii="宋体" w:hAnsi="宋体"/>
                <w:szCs w:val="21"/>
              </w:rPr>
            </w:pPr>
            <w:r>
              <w:rPr>
                <w:rFonts w:hint="eastAsia" w:ascii="宋体" w:hAnsi="宋体"/>
                <w:szCs w:val="21"/>
              </w:rPr>
              <w:t>2、具有人力资源服务许可证，得40分</w:t>
            </w:r>
          </w:p>
          <w:p>
            <w:pPr>
              <w:spacing w:after="60" w:line="276" w:lineRule="auto"/>
              <w:rPr>
                <w:rFonts w:ascii="宋体" w:hAnsi="宋体" w:cs="宋体"/>
                <w:szCs w:val="21"/>
              </w:rPr>
            </w:pPr>
            <w:r>
              <w:rPr>
                <w:rFonts w:hint="eastAsia" w:ascii="宋体" w:hAnsi="宋体"/>
                <w:szCs w:val="21"/>
              </w:rPr>
              <w:t>提供以上证书扫描件，否则不得分。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5</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rFonts w:hint="eastAsia" w:ascii="仿宋_GB2312" w:hAnsi="仿宋_GB2312" w:eastAsia="仿宋_GB2312" w:cs="仿宋_GB2312"/>
                <w:szCs w:val="21"/>
              </w:rPr>
              <w:t>履约评价情况</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6</w:t>
            </w:r>
          </w:p>
        </w:tc>
        <w:tc>
          <w:tcPr>
            <w:tcW w:w="4196" w:type="dxa"/>
            <w:tcBorders>
              <w:top w:val="single" w:color="000000" w:sz="8" w:space="0"/>
              <w:left w:val="single" w:color="000000" w:sz="8" w:space="0"/>
              <w:bottom w:val="single" w:color="000000" w:sz="8" w:space="0"/>
              <w:right w:val="single" w:color="000000" w:sz="8" w:space="0"/>
            </w:tcBorders>
          </w:tcPr>
          <w:p>
            <w:pPr>
              <w:spacing w:after="60" w:line="276" w:lineRule="auto"/>
              <w:rPr>
                <w:rFonts w:ascii="宋体" w:hAnsi="宋体"/>
                <w:szCs w:val="21"/>
              </w:rPr>
            </w:pPr>
            <w:r>
              <w:rPr>
                <w:rFonts w:hint="eastAsia" w:ascii="宋体" w:hAnsi="宋体"/>
                <w:szCs w:val="21"/>
              </w:rPr>
              <w:t>根据投标人2018年1月1日（以合同签订时间为准）至本项目投标截止从事企业薪酬调查项目（调查对象1500家以上）成功案例的履约评价情况评分：</w:t>
            </w:r>
          </w:p>
          <w:p>
            <w:pPr>
              <w:spacing w:after="60" w:line="276" w:lineRule="auto"/>
              <w:rPr>
                <w:rFonts w:ascii="宋体" w:hAnsi="宋体"/>
                <w:szCs w:val="21"/>
              </w:rPr>
            </w:pPr>
            <w:r>
              <w:rPr>
                <w:rFonts w:hint="eastAsia" w:ascii="宋体" w:hAnsi="宋体"/>
                <w:szCs w:val="21"/>
              </w:rPr>
              <w:t>每个案例评价为优秀25分，良好10分，合格5分，差0分，最高100分。</w:t>
            </w:r>
          </w:p>
          <w:p>
            <w:pPr>
              <w:spacing w:after="60" w:line="276" w:lineRule="auto"/>
              <w:rPr>
                <w:rFonts w:ascii="宋体" w:hAnsi="宋体" w:cs="宋体"/>
                <w:szCs w:val="21"/>
              </w:rPr>
            </w:pPr>
            <w:r>
              <w:rPr>
                <w:rFonts w:hint="eastAsia" w:ascii="宋体" w:hAnsi="宋体"/>
                <w:szCs w:val="21"/>
              </w:rPr>
              <w:t>提供被服务单位出具的履约评价意见证明（加盖被服务单位公章）扫描件，否则不得分。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b/>
                <w:bCs/>
                <w:color w:val="0000FF"/>
                <w:sz w:val="24"/>
              </w:rPr>
            </w:pPr>
            <w:r>
              <w:rPr>
                <w:rFonts w:hint="eastAsia"/>
                <w:b/>
                <w:bCs/>
                <w:color w:val="0000FF"/>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spacing w:after="60"/>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spacing w:after="6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szCs w:val="21"/>
              </w:rPr>
              <w:t>市财政局诚信管理情况</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5</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szCs w:val="21"/>
              </w:rPr>
              <w:t>投标人在参与政府采购活动中存在诚信相关问题且在主管部门相关处理措施实施期限内的，本项不得分，否则得满分。投标人无需提供任何证明材料，由工作人员向评审委员会提供相关信息。专家按百分制打分。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spacing w:after="60"/>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szCs w:val="21"/>
              </w:rPr>
              <w:t>2</w:t>
            </w:r>
          </w:p>
        </w:tc>
        <w:tc>
          <w:tcPr>
            <w:tcW w:w="2835"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szCs w:val="21"/>
              </w:rPr>
              <w:t>市政府采购中心履约评价情况</w:t>
            </w:r>
          </w:p>
        </w:tc>
        <w:tc>
          <w:tcPr>
            <w:tcW w:w="681" w:type="dxa"/>
            <w:tcBorders>
              <w:top w:val="single" w:color="000000" w:sz="8" w:space="0"/>
              <w:left w:val="single" w:color="000000" w:sz="8" w:space="0"/>
              <w:bottom w:val="single" w:color="000000" w:sz="8" w:space="0"/>
              <w:right w:val="single" w:color="000000" w:sz="8" w:space="0"/>
            </w:tcBorders>
          </w:tcPr>
          <w:p>
            <w:pPr>
              <w:wordWrap w:val="0"/>
              <w:spacing w:after="60"/>
              <w:jc w:val="center"/>
              <w:rPr>
                <w:rFonts w:ascii="宋体" w:hAnsi="宋体" w:cs="宋体"/>
                <w:szCs w:val="21"/>
              </w:rPr>
            </w:pPr>
            <w:r>
              <w:rPr>
                <w:rFonts w:hint="eastAsia"/>
                <w:szCs w:val="21"/>
              </w:rPr>
              <w:t>2</w:t>
            </w:r>
          </w:p>
        </w:tc>
        <w:tc>
          <w:tcPr>
            <w:tcW w:w="4196" w:type="dxa"/>
            <w:tcBorders>
              <w:top w:val="single" w:color="000000" w:sz="8" w:space="0"/>
              <w:left w:val="single" w:color="000000" w:sz="8" w:space="0"/>
              <w:bottom w:val="single" w:color="000000" w:sz="8" w:space="0"/>
              <w:right w:val="single" w:color="000000" w:sz="8" w:space="0"/>
            </w:tcBorders>
          </w:tcPr>
          <w:p>
            <w:pPr>
              <w:wordWrap w:val="0"/>
              <w:spacing w:after="60"/>
              <w:rPr>
                <w:rFonts w:ascii="宋体" w:hAnsi="宋体" w:cs="宋体"/>
                <w:szCs w:val="21"/>
              </w:rPr>
            </w:pPr>
            <w:r>
              <w:rPr>
                <w:szCs w:val="21"/>
              </w:rPr>
              <w:t>近三年（以投标截止日期为准）在市政府采购中心有履约评价为差的记录，本项不得分，否则，得满分。投标人无需提供任何证明材料，由采购中心工作人员向评委会提供相关信息。专家按百分制打分。</w:t>
            </w:r>
          </w:p>
        </w:tc>
      </w:tr>
    </w:tbl>
    <w:p>
      <w:pPr>
        <w:pStyle w:val="39"/>
        <w:jc w:val="center"/>
        <w:outlineLvl w:val="1"/>
        <w:rPr>
          <w:rFonts w:ascii="黑体" w:hAnsi="黑体" w:eastAsia="黑体"/>
          <w:sz w:val="40"/>
          <w:szCs w:val="40"/>
        </w:rPr>
      </w:pPr>
    </w:p>
    <w:p>
      <w:pPr>
        <w:pStyle w:val="39"/>
        <w:jc w:val="center"/>
        <w:outlineLvl w:val="1"/>
        <w:rPr>
          <w:rFonts w:ascii="黑体" w:hAnsi="黑体" w:eastAsia="黑体"/>
          <w:sz w:val="40"/>
          <w:szCs w:val="40"/>
        </w:rPr>
      </w:pPr>
      <w:r>
        <w:rPr>
          <w:rFonts w:hint="eastAsia" w:ascii="黑体" w:hAnsi="黑体" w:eastAsia="黑体"/>
          <w:sz w:val="40"/>
          <w:szCs w:val="40"/>
        </w:rPr>
        <w:t>投标书目录</w:t>
      </w:r>
    </w:p>
    <w:tbl>
      <w:tblPr>
        <w:tblStyle w:val="44"/>
        <w:tblW w:w="9072" w:type="dxa"/>
        <w:jc w:val="center"/>
        <w:tblCellSpacing w:w="0" w:type="dxa"/>
        <w:tblLayout w:type="fixed"/>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9072" w:type="dxa"/>
            <w:vAlign w:val="center"/>
          </w:tcPr>
          <w:p>
            <w:pPr>
              <w:widowControl/>
              <w:numPr>
                <w:ilvl w:val="0"/>
                <w:numId w:val="7"/>
              </w:numPr>
              <w:spacing w:before="100" w:beforeAutospacing="1" w:afterLines="0" w:afterAutospacing="1" w:line="240" w:lineRule="auto"/>
              <w:jc w:val="left"/>
              <w:rPr>
                <w:szCs w:val="21"/>
              </w:rPr>
            </w:pPr>
            <w:r>
              <w:rPr>
                <w:szCs w:val="21"/>
              </w:rPr>
              <w:t>投标函</w:t>
            </w:r>
          </w:p>
          <w:p>
            <w:pPr>
              <w:widowControl/>
              <w:numPr>
                <w:ilvl w:val="0"/>
                <w:numId w:val="7"/>
              </w:numPr>
              <w:spacing w:before="100" w:beforeAutospacing="1" w:afterLines="0" w:afterAutospacing="1" w:line="240" w:lineRule="auto"/>
              <w:jc w:val="left"/>
              <w:rPr>
                <w:szCs w:val="21"/>
              </w:rPr>
            </w:pPr>
            <w:r>
              <w:rPr>
                <w:szCs w:val="21"/>
              </w:rPr>
              <w:t>政府采购投标及履约承诺函</w:t>
            </w:r>
          </w:p>
          <w:p>
            <w:pPr>
              <w:widowControl/>
              <w:numPr>
                <w:ilvl w:val="0"/>
                <w:numId w:val="7"/>
              </w:numPr>
              <w:spacing w:before="100" w:beforeAutospacing="1" w:afterLines="0" w:afterAutospacing="1" w:line="240" w:lineRule="auto"/>
              <w:jc w:val="left"/>
              <w:rPr>
                <w:szCs w:val="21"/>
              </w:rPr>
            </w:pPr>
            <w:r>
              <w:rPr>
                <w:szCs w:val="21"/>
              </w:rPr>
              <w:t>关于资格的声明函</w:t>
            </w:r>
          </w:p>
          <w:p>
            <w:pPr>
              <w:widowControl/>
              <w:numPr>
                <w:ilvl w:val="0"/>
                <w:numId w:val="7"/>
              </w:numPr>
              <w:spacing w:before="100" w:beforeAutospacing="1" w:afterLines="0" w:afterAutospacing="1" w:line="240" w:lineRule="auto"/>
              <w:jc w:val="left"/>
              <w:rPr>
                <w:szCs w:val="21"/>
              </w:rPr>
            </w:pPr>
            <w:r>
              <w:rPr>
                <w:szCs w:val="21"/>
              </w:rPr>
              <w:t>投标一览表</w:t>
            </w:r>
          </w:p>
          <w:p>
            <w:pPr>
              <w:widowControl/>
              <w:numPr>
                <w:ilvl w:val="0"/>
                <w:numId w:val="7"/>
              </w:numPr>
              <w:spacing w:before="100" w:beforeAutospacing="1" w:afterLines="0" w:afterAutospacing="1" w:line="240" w:lineRule="auto"/>
              <w:jc w:val="left"/>
              <w:rPr>
                <w:szCs w:val="21"/>
              </w:rPr>
            </w:pPr>
            <w:r>
              <w:rPr>
                <w:rFonts w:hint="eastAsia"/>
                <w:szCs w:val="21"/>
              </w:rPr>
              <w:t>分项报价表</w:t>
            </w:r>
          </w:p>
          <w:p>
            <w:pPr>
              <w:widowControl/>
              <w:numPr>
                <w:ilvl w:val="0"/>
                <w:numId w:val="7"/>
              </w:numPr>
              <w:spacing w:before="100" w:beforeAutospacing="1" w:afterLines="0" w:afterAutospacing="1" w:line="240" w:lineRule="auto"/>
              <w:jc w:val="left"/>
              <w:rPr>
                <w:szCs w:val="21"/>
              </w:rPr>
            </w:pPr>
            <w:r>
              <w:rPr>
                <w:szCs w:val="21"/>
              </w:rPr>
              <w:t>技术要求偏离表</w:t>
            </w:r>
          </w:p>
          <w:p>
            <w:pPr>
              <w:widowControl/>
              <w:numPr>
                <w:ilvl w:val="0"/>
                <w:numId w:val="7"/>
              </w:numPr>
              <w:spacing w:before="100" w:beforeAutospacing="1" w:afterLines="0" w:afterAutospacing="1" w:line="240" w:lineRule="auto"/>
              <w:jc w:val="left"/>
              <w:rPr>
                <w:szCs w:val="21"/>
              </w:rPr>
            </w:pPr>
            <w:r>
              <w:rPr>
                <w:szCs w:val="21"/>
              </w:rPr>
              <w:t>商务条款响应表</w:t>
            </w:r>
          </w:p>
          <w:p>
            <w:pPr>
              <w:widowControl/>
              <w:numPr>
                <w:ilvl w:val="0"/>
                <w:numId w:val="7"/>
              </w:numPr>
              <w:spacing w:before="100" w:beforeAutospacing="1" w:afterLines="0" w:afterAutospacing="1" w:line="240" w:lineRule="auto"/>
              <w:jc w:val="left"/>
              <w:rPr>
                <w:szCs w:val="21"/>
              </w:rPr>
            </w:pPr>
            <w:r>
              <w:rPr>
                <w:szCs w:val="21"/>
              </w:rPr>
              <w:t>投标人情况介绍</w:t>
            </w:r>
          </w:p>
          <w:p>
            <w:pPr>
              <w:widowControl/>
              <w:numPr>
                <w:ilvl w:val="0"/>
                <w:numId w:val="7"/>
              </w:numPr>
              <w:spacing w:before="100" w:beforeAutospacing="1" w:afterLines="0" w:afterAutospacing="1" w:line="240" w:lineRule="auto"/>
              <w:jc w:val="left"/>
              <w:rPr>
                <w:szCs w:val="21"/>
              </w:rPr>
            </w:pPr>
            <w:r>
              <w:rPr>
                <w:szCs w:val="21"/>
              </w:rPr>
              <w:t>同类业绩</w:t>
            </w:r>
          </w:p>
          <w:p>
            <w:pPr>
              <w:widowControl/>
              <w:numPr>
                <w:ilvl w:val="0"/>
                <w:numId w:val="7"/>
              </w:numPr>
              <w:spacing w:before="100" w:beforeAutospacing="1" w:afterLines="0" w:afterAutospacing="1" w:line="240" w:lineRule="auto"/>
              <w:jc w:val="left"/>
              <w:rPr>
                <w:szCs w:val="21"/>
              </w:rPr>
            </w:pPr>
            <w:r>
              <w:rPr>
                <w:rFonts w:hint="eastAsia"/>
                <w:szCs w:val="21"/>
              </w:rPr>
              <w:t>拟安排的项目负责人情况（仅限一人）</w:t>
            </w:r>
          </w:p>
          <w:p>
            <w:pPr>
              <w:widowControl/>
              <w:numPr>
                <w:ilvl w:val="0"/>
                <w:numId w:val="7"/>
              </w:numPr>
              <w:spacing w:before="100" w:beforeAutospacing="1" w:afterLines="0" w:afterAutospacing="1" w:line="240" w:lineRule="auto"/>
              <w:jc w:val="left"/>
              <w:rPr>
                <w:szCs w:val="21"/>
              </w:rPr>
            </w:pPr>
            <w:r>
              <w:rPr>
                <w:rFonts w:hint="eastAsia"/>
                <w:szCs w:val="21"/>
              </w:rPr>
              <w:t>拟安排的项目团队成员情况（项目负责人除外）</w:t>
            </w:r>
          </w:p>
          <w:p>
            <w:pPr>
              <w:widowControl/>
              <w:numPr>
                <w:ilvl w:val="0"/>
                <w:numId w:val="7"/>
              </w:numPr>
              <w:spacing w:before="100" w:beforeAutospacing="1" w:afterLines="0" w:afterAutospacing="1" w:line="240" w:lineRule="auto"/>
              <w:jc w:val="left"/>
              <w:rPr>
                <w:szCs w:val="21"/>
              </w:rPr>
            </w:pPr>
            <w:r>
              <w:rPr>
                <w:rFonts w:hint="eastAsia"/>
                <w:szCs w:val="21"/>
              </w:rPr>
              <w:t>企业认证</w:t>
            </w:r>
          </w:p>
          <w:p>
            <w:pPr>
              <w:widowControl/>
              <w:numPr>
                <w:ilvl w:val="0"/>
                <w:numId w:val="7"/>
              </w:numPr>
              <w:spacing w:before="100" w:beforeAutospacing="1" w:afterLines="0" w:afterAutospacing="1" w:line="240" w:lineRule="auto"/>
              <w:jc w:val="left"/>
              <w:rPr>
                <w:szCs w:val="21"/>
              </w:rPr>
            </w:pPr>
            <w:r>
              <w:rPr>
                <w:rFonts w:hint="eastAsia"/>
                <w:szCs w:val="21"/>
              </w:rPr>
              <w:t>履约评价情况</w:t>
            </w:r>
          </w:p>
          <w:p>
            <w:pPr>
              <w:widowControl/>
              <w:numPr>
                <w:ilvl w:val="0"/>
                <w:numId w:val="7"/>
              </w:numPr>
              <w:spacing w:before="100" w:beforeAutospacing="1" w:afterLines="0" w:afterAutospacing="1" w:line="240" w:lineRule="auto"/>
              <w:jc w:val="left"/>
              <w:rPr>
                <w:szCs w:val="21"/>
              </w:rPr>
            </w:pPr>
            <w:r>
              <w:rPr>
                <w:szCs w:val="21"/>
              </w:rPr>
              <w:t>政府采购优惠政策</w:t>
            </w:r>
          </w:p>
          <w:p>
            <w:pPr>
              <w:widowControl/>
              <w:numPr>
                <w:ilvl w:val="0"/>
                <w:numId w:val="7"/>
              </w:numPr>
              <w:spacing w:before="100" w:beforeAutospacing="1" w:afterLines="0" w:afterAutospacing="1" w:line="240" w:lineRule="auto"/>
              <w:jc w:val="left"/>
              <w:rPr>
                <w:rFonts w:ascii="宋体" w:hAnsi="宋体" w:cs="宋体"/>
                <w:szCs w:val="21"/>
              </w:rPr>
            </w:pPr>
            <w:r>
              <w:rPr>
                <w:szCs w:val="21"/>
              </w:rPr>
              <w:t>投标人认为需要提供的其他证明文件</w:t>
            </w:r>
          </w:p>
        </w:tc>
      </w:tr>
    </w:tbl>
    <w:p>
      <w:pPr>
        <w:spacing w:after="60"/>
        <w:rPr>
          <w:rFonts w:ascii="宋体" w:hAnsi="宋体"/>
          <w:sz w:val="24"/>
        </w:rPr>
      </w:pPr>
    </w:p>
    <w:p>
      <w:pPr>
        <w:spacing w:after="60"/>
        <w:sectPr>
          <w:headerReference r:id="rId5" w:type="default"/>
          <w:footerReference r:id="rId6" w:type="default"/>
          <w:pgSz w:w="11907" w:h="16840"/>
          <w:pgMar w:top="1440" w:right="1417" w:bottom="1440" w:left="1417" w:header="851" w:footer="698" w:gutter="0"/>
          <w:cols w:space="720" w:num="1"/>
          <w:docGrid w:linePitch="286" w:charSpace="46535"/>
        </w:sectPr>
      </w:pPr>
    </w:p>
    <w:p>
      <w:pPr>
        <w:pStyle w:val="39"/>
        <w:jc w:val="center"/>
        <w:outlineLvl w:val="1"/>
        <w:rPr>
          <w:rFonts w:ascii="黑体" w:hAnsi="黑体" w:eastAsia="黑体"/>
          <w:color w:val="auto"/>
          <w:sz w:val="40"/>
          <w:szCs w:val="40"/>
        </w:rPr>
      </w:pPr>
      <w:r>
        <w:rPr>
          <w:rFonts w:hint="eastAsia" w:ascii="黑体" w:hAnsi="黑体" w:eastAsia="黑体"/>
          <w:color w:val="auto"/>
          <w:sz w:val="40"/>
          <w:szCs w:val="40"/>
        </w:rPr>
        <w:t>警示条款</w:t>
      </w:r>
    </w:p>
    <w:p>
      <w:pPr>
        <w:widowControl/>
        <w:spacing w:afterLines="0" w:line="240" w:lineRule="auto"/>
        <w:jc w:val="left"/>
      </w:pPr>
    </w:p>
    <w:p>
      <w:pPr>
        <w:widowControl/>
        <w:spacing w:afterLines="0" w:line="240" w:lineRule="auto"/>
        <w:jc w:val="left"/>
      </w:pPr>
    </w:p>
    <w:p>
      <w:pPr>
        <w:spacing w:after="60"/>
        <w:ind w:firstLine="420" w:firstLineChars="200"/>
        <w:rPr>
          <w:rFonts w:ascii="宋体" w:hAnsi="宋体"/>
          <w:szCs w:val="21"/>
        </w:rPr>
      </w:pPr>
      <w:r>
        <w:rPr>
          <w:rFonts w:hint="eastAsia" w:ascii="宋体" w:hAnsi="宋体"/>
          <w:szCs w:val="21"/>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after="60"/>
        <w:rPr>
          <w:rFonts w:ascii="宋体" w:hAnsi="宋体"/>
          <w:szCs w:val="21"/>
        </w:rPr>
      </w:pPr>
      <w:r>
        <w:rPr>
          <w:rFonts w:hint="eastAsia" w:ascii="宋体" w:hAnsi="宋体"/>
          <w:szCs w:val="21"/>
        </w:rPr>
        <w:t xml:space="preserve">  （一）在采购活动中应当回避而未回避的；</w:t>
      </w:r>
    </w:p>
    <w:p>
      <w:pPr>
        <w:spacing w:after="60"/>
        <w:rPr>
          <w:rFonts w:ascii="宋体" w:hAnsi="宋体"/>
          <w:szCs w:val="21"/>
        </w:rPr>
      </w:pPr>
      <w:r>
        <w:rPr>
          <w:rFonts w:hint="eastAsia" w:ascii="宋体" w:hAnsi="宋体"/>
          <w:szCs w:val="21"/>
        </w:rPr>
        <w:t xml:space="preserve">  （二）未按本条例规定签订、履行采购合同，造成严重后果的；</w:t>
      </w:r>
    </w:p>
    <w:p>
      <w:pPr>
        <w:spacing w:after="60"/>
        <w:rPr>
          <w:rFonts w:ascii="宋体" w:hAnsi="宋体"/>
          <w:szCs w:val="21"/>
        </w:rPr>
      </w:pPr>
      <w:r>
        <w:rPr>
          <w:rFonts w:hint="eastAsia" w:ascii="宋体" w:hAnsi="宋体"/>
          <w:szCs w:val="21"/>
        </w:rPr>
        <w:t xml:space="preserve">  （三）隐瞒真实情况，提供虚假资料的；</w:t>
      </w:r>
    </w:p>
    <w:p>
      <w:pPr>
        <w:spacing w:after="60"/>
        <w:rPr>
          <w:rFonts w:ascii="宋体" w:hAnsi="宋体"/>
          <w:szCs w:val="21"/>
        </w:rPr>
      </w:pPr>
      <w:r>
        <w:rPr>
          <w:rFonts w:hint="eastAsia" w:ascii="宋体" w:hAnsi="宋体"/>
          <w:szCs w:val="21"/>
        </w:rPr>
        <w:t xml:space="preserve">  （四）以非法手段排斥其他供应商参与竞争的；</w:t>
      </w:r>
    </w:p>
    <w:p>
      <w:pPr>
        <w:spacing w:after="60"/>
        <w:rPr>
          <w:rFonts w:ascii="宋体" w:hAnsi="宋体"/>
          <w:szCs w:val="21"/>
        </w:rPr>
      </w:pPr>
      <w:r>
        <w:rPr>
          <w:rFonts w:hint="eastAsia" w:ascii="宋体" w:hAnsi="宋体"/>
          <w:szCs w:val="21"/>
        </w:rPr>
        <w:t xml:space="preserve">  （五）与其他采购参加人串通投标的；</w:t>
      </w:r>
    </w:p>
    <w:p>
      <w:pPr>
        <w:spacing w:after="60"/>
        <w:rPr>
          <w:rFonts w:ascii="宋体" w:hAnsi="宋体"/>
          <w:szCs w:val="21"/>
        </w:rPr>
      </w:pPr>
      <w:r>
        <w:rPr>
          <w:rFonts w:hint="eastAsia" w:ascii="宋体" w:hAnsi="宋体"/>
          <w:szCs w:val="21"/>
        </w:rPr>
        <w:t xml:space="preserve">  （六）恶意投诉的；</w:t>
      </w:r>
    </w:p>
    <w:p>
      <w:pPr>
        <w:spacing w:after="60"/>
        <w:rPr>
          <w:rFonts w:ascii="宋体" w:hAnsi="宋体"/>
          <w:szCs w:val="21"/>
        </w:rPr>
      </w:pPr>
      <w:r>
        <w:rPr>
          <w:rFonts w:hint="eastAsia" w:ascii="宋体" w:hAnsi="宋体"/>
          <w:szCs w:val="21"/>
        </w:rPr>
        <w:t xml:space="preserve">  （七）向采购项目相关人行贿或者提供其他不当利益的；</w:t>
      </w:r>
    </w:p>
    <w:p>
      <w:pPr>
        <w:spacing w:after="60"/>
        <w:rPr>
          <w:rFonts w:ascii="宋体" w:hAnsi="宋体"/>
          <w:szCs w:val="21"/>
        </w:rPr>
      </w:pPr>
      <w:r>
        <w:rPr>
          <w:rFonts w:hint="eastAsia" w:ascii="宋体" w:hAnsi="宋体"/>
          <w:szCs w:val="21"/>
        </w:rPr>
        <w:t xml:space="preserve">  （八）阻碍、抗拒主管部门监督检查的；</w:t>
      </w:r>
    </w:p>
    <w:p>
      <w:pPr>
        <w:spacing w:after="60"/>
        <w:rPr>
          <w:rFonts w:ascii="宋体" w:hAnsi="宋体"/>
          <w:szCs w:val="21"/>
        </w:rPr>
      </w:pPr>
      <w:r>
        <w:rPr>
          <w:rFonts w:hint="eastAsia" w:ascii="宋体" w:hAnsi="宋体"/>
          <w:szCs w:val="21"/>
        </w:rPr>
        <w:t xml:space="preserve">  （九）其他违反本条例规定的行为。</w:t>
      </w:r>
    </w:p>
    <w:p>
      <w:pPr>
        <w:spacing w:after="60"/>
        <w:rPr>
          <w:rFonts w:asciiTheme="minorEastAsia" w:hAnsiTheme="minorEastAsia" w:eastAsiaTheme="minorEastAsia"/>
          <w:szCs w:val="21"/>
        </w:rPr>
      </w:pPr>
      <w:r>
        <w:rPr>
          <w:rFonts w:hint="eastAsia" w:ascii="宋体" w:hAnsi="宋体"/>
          <w:szCs w:val="21"/>
        </w:rPr>
        <w:t xml:space="preserve">    </w:t>
      </w:r>
    </w:p>
    <w:p>
      <w:pPr>
        <w:widowControl/>
        <w:spacing w:afterLines="0" w:line="240" w:lineRule="auto"/>
        <w:jc w:val="left"/>
        <w:sectPr>
          <w:pgSz w:w="11907" w:h="16840"/>
          <w:pgMar w:top="1440" w:right="1417" w:bottom="1440" w:left="1417" w:header="851" w:footer="698" w:gutter="0"/>
          <w:cols w:space="720" w:num="1"/>
          <w:docGrid w:linePitch="286" w:charSpace="46535"/>
        </w:sectPr>
      </w:pPr>
    </w:p>
    <w:p>
      <w:pPr>
        <w:pStyle w:val="4"/>
        <w:spacing w:after="60"/>
        <w:jc w:val="center"/>
      </w:pPr>
      <w:r>
        <w:rPr>
          <w:rFonts w:hint="eastAsia"/>
        </w:rPr>
        <w:t>其他关键信息</w:t>
      </w:r>
    </w:p>
    <w:p>
      <w:pPr>
        <w:pStyle w:val="4"/>
        <w:spacing w:after="60"/>
        <w:jc w:val="center"/>
        <w:rPr>
          <w:b w:val="0"/>
        </w:rPr>
      </w:pPr>
      <w:r>
        <w:rPr>
          <w:rFonts w:hint="eastAsia"/>
        </w:rPr>
        <w:t>综合评分法评标信息</w:t>
      </w:r>
    </w:p>
    <w:p>
      <w:pPr>
        <w:spacing w:after="60" w:line="360" w:lineRule="auto"/>
        <w:ind w:firstLine="421" w:firstLineChars="200"/>
        <w:rPr>
          <w:b/>
          <w:bCs/>
          <w:szCs w:val="21"/>
        </w:rPr>
      </w:pPr>
      <w:r>
        <w:rPr>
          <w:rFonts w:hint="eastAsia"/>
          <w:b/>
          <w:bCs/>
          <w:szCs w:val="21"/>
        </w:rPr>
        <w:t>一、评标方法：综合评分法（新价格分算法）</w:t>
      </w:r>
    </w:p>
    <w:p>
      <w:pPr>
        <w:spacing w:after="60" w:line="360" w:lineRule="auto"/>
        <w:ind w:firstLine="420" w:firstLineChars="200"/>
        <w:rPr>
          <w:bCs/>
          <w:szCs w:val="21"/>
        </w:rPr>
      </w:pPr>
      <w:r>
        <w:rPr>
          <w:rFonts w:hint="eastAsia"/>
          <w:bCs/>
          <w:szCs w:val="21"/>
        </w:rPr>
        <w:t>综合评分法，是指投标文件满足招标文件全部实质性要求，且按照评审因素的量化指标评审得分最高的投标人为中标候选人的评标方法。</w:t>
      </w:r>
    </w:p>
    <w:p>
      <w:pPr>
        <w:spacing w:after="60" w:line="360" w:lineRule="auto"/>
        <w:ind w:firstLine="420" w:firstLineChars="200"/>
        <w:rPr>
          <w:bCs/>
          <w:szCs w:val="21"/>
        </w:rPr>
      </w:pPr>
      <w:r>
        <w:rPr>
          <w:rFonts w:hint="eastAsia"/>
          <w:bCs/>
          <w:szCs w:val="21"/>
        </w:rPr>
        <w:t>确定中标供应商按评审后得分由高到低顺序排列。得分相同的，按投标报价由低到高顺序排列。得分且投标报价相同的，按技术指标或服务方案优劣顺序排列。得分相同、投标报价相同、且技术指标或服务方案优劣相同的，</w:t>
      </w:r>
      <w:r>
        <w:rPr>
          <w:bCs/>
          <w:szCs w:val="21"/>
        </w:rPr>
        <w:t>采取随机抽取方式确定中标人资格</w:t>
      </w:r>
      <w:r>
        <w:rPr>
          <w:rFonts w:hint="eastAsia"/>
          <w:bCs/>
          <w:szCs w:val="21"/>
        </w:rPr>
        <w:t>。</w:t>
      </w:r>
    </w:p>
    <w:p>
      <w:pPr>
        <w:spacing w:after="60" w:line="360" w:lineRule="auto"/>
        <w:ind w:firstLine="420" w:firstLineChars="200"/>
        <w:rPr>
          <w:bCs/>
          <w:szCs w:val="21"/>
        </w:rPr>
      </w:pPr>
      <w:r>
        <w:rPr>
          <w:rFonts w:hint="eastAsia"/>
          <w:bCs/>
          <w:szCs w:val="21"/>
        </w:rPr>
        <w:t>价格分计算方法：</w:t>
      </w:r>
    </w:p>
    <w:p>
      <w:pPr>
        <w:spacing w:after="60" w:line="360" w:lineRule="auto"/>
        <w:ind w:firstLine="420" w:firstLineChars="200"/>
        <w:rPr>
          <w:bCs/>
          <w:szCs w:val="21"/>
        </w:rPr>
      </w:pPr>
      <w:r>
        <w:rPr>
          <w:rFonts w:hint="eastAsia"/>
          <w:bCs/>
          <w:szCs w:val="21"/>
        </w:rPr>
        <w:t>采用低价优先法计算，即满足招标文件要求且投标价格最低的投标报价为评标基准价，其价格分为满分。其他投标人的价格分统一按照下列公式计算：</w:t>
      </w:r>
    </w:p>
    <w:p>
      <w:pPr>
        <w:spacing w:after="60" w:line="360" w:lineRule="auto"/>
        <w:ind w:firstLine="420" w:firstLineChars="200"/>
        <w:rPr>
          <w:bCs/>
          <w:szCs w:val="21"/>
        </w:rPr>
      </w:pPr>
      <w:r>
        <w:rPr>
          <w:rFonts w:hint="eastAsia"/>
          <w:bCs/>
          <w:szCs w:val="21"/>
        </w:rPr>
        <w:t xml:space="preserve">投标报价得分=(评标基准价／投标报价)×100 </w:t>
      </w:r>
    </w:p>
    <w:p>
      <w:pPr>
        <w:spacing w:after="60" w:line="360" w:lineRule="auto"/>
        <w:ind w:firstLine="420" w:firstLineChars="200"/>
        <w:rPr>
          <w:bCs/>
          <w:szCs w:val="21"/>
        </w:rPr>
      </w:pPr>
      <w:r>
        <w:rPr>
          <w:rFonts w:hint="eastAsia"/>
          <w:bCs/>
          <w:szCs w:val="21"/>
        </w:rPr>
        <w:t xml:space="preserve">评标总得分＝F1×A1＋F2×A2＋……＋Fn×An </w:t>
      </w:r>
    </w:p>
    <w:p>
      <w:pPr>
        <w:spacing w:after="60" w:line="360" w:lineRule="auto"/>
        <w:ind w:firstLine="420" w:firstLineChars="200"/>
        <w:rPr>
          <w:bCs/>
          <w:szCs w:val="21"/>
        </w:rPr>
      </w:pPr>
      <w:r>
        <w:rPr>
          <w:rFonts w:hint="eastAsia"/>
          <w:bCs/>
          <w:szCs w:val="21"/>
        </w:rPr>
        <w:t xml:space="preserve">    F1、F2……Fn分别为各项评审因素的得分；</w:t>
      </w:r>
    </w:p>
    <w:p>
      <w:pPr>
        <w:spacing w:after="60" w:line="360" w:lineRule="auto"/>
        <w:ind w:firstLine="420" w:firstLineChars="200"/>
        <w:rPr>
          <w:bCs/>
          <w:szCs w:val="21"/>
        </w:rPr>
      </w:pPr>
      <w:r>
        <w:rPr>
          <w:rFonts w:hint="eastAsia"/>
          <w:bCs/>
          <w:szCs w:val="21"/>
        </w:rPr>
        <w:t xml:space="preserve">    A1、A2、……An 分别为各项评审因素所占的权重(A1＋A2＋……＋An＝1)。</w:t>
      </w:r>
    </w:p>
    <w:p>
      <w:pPr>
        <w:spacing w:after="60" w:line="360" w:lineRule="auto"/>
        <w:ind w:firstLine="420" w:firstLineChars="200"/>
        <w:rPr>
          <w:bCs/>
          <w:szCs w:val="21"/>
        </w:rPr>
      </w:pPr>
      <w:r>
        <w:rPr>
          <w:rFonts w:hint="eastAsia"/>
          <w:bCs/>
          <w:szCs w:val="21"/>
        </w:rPr>
        <w:t>评标过程中，不得去掉报价中的最高报价和最低报价。</w:t>
      </w:r>
    </w:p>
    <w:p>
      <w:pPr>
        <w:spacing w:after="60" w:line="360" w:lineRule="auto"/>
        <w:ind w:firstLine="420" w:firstLineChars="200"/>
        <w:rPr>
          <w:bCs/>
          <w:szCs w:val="21"/>
        </w:rPr>
      </w:pPr>
      <w:r>
        <w:rPr>
          <w:rFonts w:hint="eastAsia"/>
          <w:bCs/>
          <w:szCs w:val="21"/>
        </w:rPr>
        <w:t>此方法适用于货物类、服务类、工程类项目。</w:t>
      </w:r>
    </w:p>
    <w:p>
      <w:pPr>
        <w:spacing w:after="60" w:line="360" w:lineRule="auto"/>
        <w:ind w:firstLine="421" w:firstLineChars="200"/>
        <w:rPr>
          <w:rFonts w:ascii="宋体" w:hAnsi="宋体"/>
          <w:b/>
          <w:szCs w:val="21"/>
        </w:rPr>
      </w:pPr>
      <w:r>
        <w:rPr>
          <w:rFonts w:hint="eastAsia" w:ascii="宋体" w:hAnsi="宋体"/>
          <w:b/>
          <w:szCs w:val="21"/>
        </w:rPr>
        <w:t>二、关于投标报价的注意事项</w:t>
      </w:r>
    </w:p>
    <w:p>
      <w:pPr>
        <w:spacing w:after="60" w:line="360" w:lineRule="auto"/>
        <w:ind w:firstLine="421" w:firstLineChars="200"/>
        <w:rPr>
          <w:b/>
          <w:bCs/>
          <w:szCs w:val="21"/>
        </w:rPr>
      </w:pPr>
      <w:r>
        <w:rPr>
          <w:rFonts w:hint="eastAsia" w:ascii="宋体" w:hAnsi="宋体"/>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after="60" w:line="360" w:lineRule="auto"/>
        <w:ind w:firstLine="421" w:firstLineChars="200"/>
        <w:rPr>
          <w:b/>
        </w:rPr>
      </w:pPr>
      <w:r>
        <w:rPr>
          <w:rFonts w:hint="eastAsia"/>
          <w:b/>
        </w:rPr>
        <w:t>三、评定标方法</w:t>
      </w:r>
    </w:p>
    <w:tbl>
      <w:tblPr>
        <w:tblStyle w:val="4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2"/>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502" w:type="dxa"/>
            <w:vAlign w:val="center"/>
          </w:tcPr>
          <w:p>
            <w:pPr>
              <w:spacing w:after="60" w:line="360" w:lineRule="auto"/>
              <w:ind w:firstLine="428"/>
              <w:rPr>
                <w:b/>
                <w:bCs/>
                <w:kern w:val="0"/>
                <w:szCs w:val="21"/>
              </w:rPr>
            </w:pPr>
            <w:r>
              <w:rPr>
                <w:rFonts w:hint="eastAsia"/>
                <w:b/>
                <w:bCs/>
                <w:kern w:val="0"/>
                <w:szCs w:val="21"/>
              </w:rPr>
              <w:t>评标方法</w:t>
            </w:r>
          </w:p>
        </w:tc>
        <w:tc>
          <w:tcPr>
            <w:tcW w:w="4502" w:type="dxa"/>
            <w:vAlign w:val="center"/>
          </w:tcPr>
          <w:p>
            <w:pPr>
              <w:spacing w:after="60" w:line="360" w:lineRule="auto"/>
              <w:ind w:firstLine="428"/>
              <w:rPr>
                <w:b/>
                <w:bCs/>
                <w:kern w:val="0"/>
                <w:szCs w:val="21"/>
              </w:rPr>
            </w:pPr>
            <w:r>
              <w:rPr>
                <w:rFonts w:hint="eastAsia"/>
                <w:b/>
                <w:bCs/>
                <w:kern w:val="0"/>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502" w:type="dxa"/>
            <w:vAlign w:val="center"/>
          </w:tcPr>
          <w:p>
            <w:pPr>
              <w:spacing w:after="60" w:line="360" w:lineRule="auto"/>
              <w:ind w:firstLine="428"/>
              <w:rPr>
                <w:b/>
                <w:bCs/>
                <w:kern w:val="0"/>
                <w:szCs w:val="21"/>
              </w:rPr>
            </w:pPr>
            <w:r>
              <w:rPr>
                <w:rFonts w:hint="eastAsia"/>
                <w:b/>
                <w:bCs/>
                <w:kern w:val="0"/>
                <w:szCs w:val="21"/>
              </w:rPr>
              <w:t>中标供应商家数</w:t>
            </w:r>
          </w:p>
        </w:tc>
        <w:tc>
          <w:tcPr>
            <w:tcW w:w="4502" w:type="dxa"/>
            <w:vAlign w:val="center"/>
          </w:tcPr>
          <w:p>
            <w:pPr>
              <w:spacing w:after="60" w:line="360" w:lineRule="auto"/>
              <w:ind w:firstLine="428"/>
              <w:rPr>
                <w:b/>
                <w:bCs/>
                <w:kern w:val="0"/>
                <w:szCs w:val="21"/>
              </w:rPr>
            </w:pPr>
            <w:r>
              <w:rPr>
                <w:rFonts w:hint="eastAsia"/>
                <w:b/>
                <w:bCs/>
                <w:kern w:val="0"/>
                <w:szCs w:val="21"/>
              </w:rPr>
              <w:t>1家</w:t>
            </w:r>
          </w:p>
        </w:tc>
      </w:tr>
    </w:tbl>
    <w:p>
      <w:pPr>
        <w:spacing w:after="60" w:line="360" w:lineRule="auto"/>
        <w:ind w:firstLine="421" w:firstLineChars="200"/>
        <w:rPr>
          <w:b/>
          <w:bCs/>
          <w:szCs w:val="21"/>
        </w:rPr>
      </w:pPr>
    </w:p>
    <w:p>
      <w:pPr>
        <w:spacing w:after="60" w:line="360" w:lineRule="auto"/>
        <w:ind w:firstLine="421" w:firstLineChars="200"/>
        <w:rPr>
          <w:b/>
          <w:szCs w:val="21"/>
        </w:rPr>
      </w:pPr>
      <w:r>
        <w:rPr>
          <w:rFonts w:hint="eastAsia"/>
          <w:b/>
        </w:rPr>
        <w:t>四、关于</w:t>
      </w:r>
      <w:r>
        <w:rPr>
          <w:rFonts w:hint="eastAsia"/>
          <w:b/>
          <w:bCs/>
        </w:rPr>
        <w:t>评标优惠政策</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bCs/>
          <w:szCs w:val="21"/>
        </w:rPr>
        <w:t>为进一步落实《政府采购促进中小企业发展管理办法》（财库﹝</w:t>
      </w:r>
      <w:r>
        <w:rPr>
          <w:rFonts w:asciiTheme="minorEastAsia" w:hAnsiTheme="minorEastAsia" w:eastAsiaTheme="minorEastAsia"/>
          <w:bCs/>
          <w:szCs w:val="21"/>
        </w:rPr>
        <w:t>2020</w:t>
      </w:r>
      <w:r>
        <w:rPr>
          <w:rFonts w:hint="eastAsia" w:asciiTheme="minorEastAsia" w:hAnsiTheme="minorEastAsia" w:eastAsiaTheme="minorEastAsia"/>
          <w:bCs/>
          <w:szCs w:val="21"/>
        </w:rPr>
        <w:t>﹞</w:t>
      </w:r>
      <w:r>
        <w:rPr>
          <w:rFonts w:asciiTheme="minorEastAsia" w:hAnsiTheme="minorEastAsia" w:eastAsiaTheme="minorEastAsia"/>
          <w:bCs/>
          <w:szCs w:val="21"/>
        </w:rPr>
        <w:t xml:space="preserve">46 </w:t>
      </w:r>
      <w:r>
        <w:rPr>
          <w:rFonts w:hint="eastAsia" w:asciiTheme="minorEastAsia" w:hAnsiTheme="minorEastAsia" w:eastAsiaTheme="minorEastAsia"/>
          <w:bCs/>
          <w:szCs w:val="21"/>
        </w:rPr>
        <w:t>号）、《关于政府采购支持监狱企业发展有关问题的通知》（财库〔2014〕68号）、《财政部、民政部、中国残疾人联合会关于促进残疾人就业政府采购政策的通知》（财库〔2017〕141号）以及《深圳市人民政府办公厅印发关于以更大力度支持民营经济发展的若干措施的通知》（深府规〔2018〕23号）等要求，</w:t>
      </w:r>
      <w:r>
        <w:rPr>
          <w:rFonts w:hint="eastAsia" w:asciiTheme="minorEastAsia" w:hAnsiTheme="minorEastAsia" w:eastAsiaTheme="minorEastAsia"/>
          <w:szCs w:val="21"/>
        </w:rPr>
        <w:t>小型企业、微型企业、监狱企业、残疾人福利性单位提供本企业制造的货物，承担的工程或服务，或者提供其他符合优惠主体资格条件企业制造的货物，对其所投产品的价格给予</w:t>
      </w:r>
      <w:r>
        <w:rPr>
          <w:rFonts w:hint="eastAsia" w:asciiTheme="minorEastAsia" w:hAnsiTheme="minorEastAsia" w:eastAsiaTheme="minorEastAsia"/>
          <w:b/>
          <w:color w:val="FF0000"/>
          <w:szCs w:val="21"/>
        </w:rPr>
        <w:t>6%</w:t>
      </w:r>
      <w:r>
        <w:rPr>
          <w:rFonts w:hint="eastAsia" w:asciiTheme="minorEastAsia" w:hAnsiTheme="minorEastAsia" w:eastAsiaTheme="minorEastAsia"/>
          <w:szCs w:val="21"/>
        </w:rPr>
        <w:t>的扣除，用扣除后的价格参与评审，具体扣除比例由采购人或者招标机构确定。满足多项优惠政策的企业，不重复享受多项价格扣除政策。</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（2）联合体投标且联合协议中明确约定优惠主体的协议合同金额占到联合体协议总金额30%以上的，价格扣除比例为</w:t>
      </w:r>
      <w:r>
        <w:rPr>
          <w:rFonts w:hint="eastAsia" w:asciiTheme="minorEastAsia" w:hAnsiTheme="minorEastAsia" w:eastAsiaTheme="minorEastAsia"/>
          <w:b/>
          <w:color w:val="FF0000"/>
          <w:szCs w:val="21"/>
        </w:rPr>
        <w:t>2%</w:t>
      </w:r>
      <w:r>
        <w:rPr>
          <w:rFonts w:hint="eastAsia" w:asciiTheme="minorEastAsia" w:hAnsiTheme="minorEastAsia" w:eastAsiaTheme="minorEastAsia"/>
          <w:szCs w:val="21"/>
        </w:rPr>
        <w:t>，具体扣除比例由采购人或者招标机构确定。联合体各方均为优惠主体的，对其所投产品的价格给予</w:t>
      </w:r>
      <w:r>
        <w:rPr>
          <w:rFonts w:hint="eastAsia" w:asciiTheme="minorEastAsia" w:hAnsiTheme="minorEastAsia" w:eastAsiaTheme="minorEastAsia"/>
          <w:b/>
          <w:color w:val="FF0000"/>
          <w:szCs w:val="21"/>
        </w:rPr>
        <w:t>6%</w:t>
      </w:r>
      <w:r>
        <w:rPr>
          <w:rFonts w:hint="eastAsia" w:asciiTheme="minorEastAsia" w:hAnsiTheme="minorEastAsia" w:eastAsiaTheme="minorEastAsia"/>
          <w:szCs w:val="21"/>
        </w:rPr>
        <w:t>的扣除。</w:t>
      </w:r>
    </w:p>
    <w:p>
      <w:pPr>
        <w:spacing w:after="60" w:line="360" w:lineRule="auto"/>
        <w:ind w:firstLine="420" w:firstLineChars="200"/>
        <w:rPr>
          <w:szCs w:val="21"/>
        </w:rPr>
      </w:pPr>
      <w:r>
        <w:rPr>
          <w:rFonts w:hint="eastAsia" w:asciiTheme="minorEastAsia" w:hAnsiTheme="minorEastAsia" w:eastAsiaTheme="minorEastAsia"/>
          <w:szCs w:val="21"/>
        </w:rPr>
        <w:t>（3）优惠主体资格的认定资料为《中小企业声明函》、《残疾人福利性单位声明函》、《监狱企业声明函》以及《含有小型、微型企业的联合体声明函》等承诺性质的资料（声明函样式见附件）；监狱企业或者代理提供监狱企业货物</w:t>
      </w:r>
      <w:r>
        <w:rPr>
          <w:rFonts w:hint="eastAsia"/>
          <w:szCs w:val="21"/>
        </w:rPr>
        <w:t>的供应商如须享受优惠政策，除上述资料外，还须提供省级以上监狱管理局、戒毒管理局出具的监狱企业证明文件。</w:t>
      </w:r>
    </w:p>
    <w:p>
      <w:pPr>
        <w:widowControl/>
        <w:spacing w:afterLines="0" w:line="240" w:lineRule="auto"/>
        <w:jc w:val="left"/>
        <w:rPr>
          <w:szCs w:val="21"/>
        </w:rPr>
      </w:pPr>
      <w:r>
        <w:rPr>
          <w:szCs w:val="21"/>
        </w:rPr>
        <w:br w:type="page"/>
      </w:r>
    </w:p>
    <w:p>
      <w:pPr>
        <w:spacing w:after="60" w:line="360" w:lineRule="auto"/>
        <w:ind w:firstLine="420" w:firstLineChars="200"/>
        <w:rPr>
          <w:szCs w:val="21"/>
        </w:rPr>
      </w:pPr>
    </w:p>
    <w:p>
      <w:pPr>
        <w:pStyle w:val="4"/>
        <w:spacing w:after="60"/>
        <w:jc w:val="center"/>
      </w:pPr>
      <w:r>
        <w:rPr>
          <w:rFonts w:hint="eastAsia"/>
        </w:rPr>
        <w:t>目录</w:t>
      </w:r>
    </w:p>
    <w:p>
      <w:pPr>
        <w:spacing w:after="60" w:line="360" w:lineRule="auto"/>
        <w:rPr>
          <w:szCs w:val="21"/>
        </w:rPr>
      </w:pPr>
    </w:p>
    <w:p>
      <w:pPr>
        <w:spacing w:after="60" w:line="360" w:lineRule="auto"/>
        <w:rPr>
          <w:b/>
          <w:szCs w:val="21"/>
        </w:rPr>
      </w:pPr>
      <w:r>
        <w:rPr>
          <w:rFonts w:hint="eastAsia"/>
          <w:b/>
          <w:szCs w:val="21"/>
        </w:rPr>
        <w:t>第一册  专用条款</w:t>
      </w:r>
    </w:p>
    <w:p>
      <w:pPr>
        <w:spacing w:after="60" w:line="360" w:lineRule="auto"/>
        <w:rPr>
          <w:szCs w:val="21"/>
        </w:rPr>
      </w:pPr>
      <w:r>
        <w:rPr>
          <w:rFonts w:hint="eastAsia"/>
          <w:szCs w:val="21"/>
        </w:rPr>
        <w:t xml:space="preserve">        关键信息</w:t>
      </w:r>
    </w:p>
    <w:p>
      <w:pPr>
        <w:spacing w:after="60" w:line="360" w:lineRule="auto"/>
        <w:rPr>
          <w:szCs w:val="21"/>
        </w:rPr>
      </w:pPr>
      <w:r>
        <w:rPr>
          <w:rFonts w:hint="eastAsia"/>
          <w:szCs w:val="21"/>
        </w:rPr>
        <w:t xml:space="preserve">        第一章  招标公告</w:t>
      </w:r>
    </w:p>
    <w:p>
      <w:pPr>
        <w:spacing w:after="60" w:line="360" w:lineRule="auto"/>
        <w:rPr>
          <w:szCs w:val="21"/>
        </w:rPr>
      </w:pPr>
      <w:r>
        <w:rPr>
          <w:rFonts w:hint="eastAsia"/>
          <w:szCs w:val="21"/>
        </w:rPr>
        <w:t xml:space="preserve">        第二章  投标资料表</w:t>
      </w:r>
    </w:p>
    <w:p>
      <w:pPr>
        <w:spacing w:after="60" w:line="360" w:lineRule="auto"/>
        <w:rPr>
          <w:szCs w:val="21"/>
        </w:rPr>
      </w:pPr>
      <w:r>
        <w:rPr>
          <w:rFonts w:hint="eastAsia"/>
          <w:szCs w:val="21"/>
        </w:rPr>
        <w:t xml:space="preserve">        第三章  招标项目需求</w:t>
      </w:r>
    </w:p>
    <w:p>
      <w:pPr>
        <w:spacing w:after="60" w:line="360" w:lineRule="auto"/>
        <w:rPr>
          <w:szCs w:val="21"/>
        </w:rPr>
      </w:pPr>
      <w:r>
        <w:rPr>
          <w:rFonts w:hint="eastAsia"/>
          <w:szCs w:val="21"/>
        </w:rPr>
        <w:t xml:space="preserve">        第四章  投标文件格式、附件</w:t>
      </w:r>
    </w:p>
    <w:p>
      <w:pPr>
        <w:spacing w:after="60" w:line="360" w:lineRule="auto"/>
        <w:rPr>
          <w:szCs w:val="21"/>
        </w:rPr>
      </w:pPr>
      <w:r>
        <w:rPr>
          <w:rFonts w:hint="eastAsia"/>
          <w:szCs w:val="21"/>
        </w:rPr>
        <w:t xml:space="preserve">        第五章  合同条款及格式</w:t>
      </w:r>
    </w:p>
    <w:p>
      <w:pPr>
        <w:spacing w:after="60" w:line="360" w:lineRule="auto"/>
        <w:rPr>
          <w:szCs w:val="21"/>
        </w:rPr>
      </w:pPr>
    </w:p>
    <w:p>
      <w:pPr>
        <w:spacing w:after="60" w:line="360" w:lineRule="auto"/>
        <w:rPr>
          <w:b/>
          <w:szCs w:val="21"/>
        </w:rPr>
      </w:pPr>
      <w:r>
        <w:rPr>
          <w:rFonts w:hint="eastAsia"/>
          <w:b/>
          <w:szCs w:val="21"/>
        </w:rPr>
        <w:t>第二册  通用条款</w:t>
      </w:r>
    </w:p>
    <w:p>
      <w:pPr>
        <w:spacing w:after="60" w:line="360" w:lineRule="auto"/>
        <w:rPr>
          <w:szCs w:val="21"/>
        </w:rPr>
      </w:pPr>
      <w:r>
        <w:rPr>
          <w:rFonts w:hint="eastAsia"/>
          <w:szCs w:val="21"/>
        </w:rPr>
        <w:t xml:space="preserve">        </w:t>
      </w:r>
    </w:p>
    <w:p>
      <w:pPr>
        <w:spacing w:after="60" w:line="360" w:lineRule="auto"/>
        <w:rPr>
          <w:b/>
        </w:rPr>
      </w:pPr>
      <w:r>
        <w:rPr>
          <w:rFonts w:hint="eastAsia"/>
          <w:b/>
        </w:rPr>
        <w:t>备注：</w:t>
      </w:r>
    </w:p>
    <w:p>
      <w:pPr>
        <w:spacing w:after="60" w:line="360" w:lineRule="auto"/>
        <w:ind w:firstLine="420" w:firstLineChars="200"/>
        <w:rPr>
          <w:b/>
        </w:rPr>
      </w:pPr>
      <w:r>
        <w:rPr>
          <w:rFonts w:hint="eastAsia" w:ascii="宋体" w:hAnsi="宋体"/>
          <w:szCs w:val="21"/>
        </w:rPr>
        <w:t>1、本招标文件分为第一册“专用条款”和第二册“通用条款”。</w:t>
      </w:r>
    </w:p>
    <w:p>
      <w:pPr>
        <w:spacing w:after="60" w:line="360" w:lineRule="auto"/>
        <w:ind w:firstLine="420" w:firstLineChars="200"/>
        <w:jc w:val="left"/>
        <w:rPr>
          <w:rFonts w:ascii="宋体" w:hAnsi="宋体"/>
          <w:szCs w:val="21"/>
        </w:rPr>
      </w:pPr>
      <w:r>
        <w:rPr>
          <w:rFonts w:hint="eastAsia" w:ascii="宋体" w:hAnsi="宋体"/>
          <w:szCs w:val="21"/>
        </w:rPr>
        <w:t>2、“专用条款”是对本次采购项目的具体要求，包含招标公告、招标项目需求、投标文件格式、合同条款及格式、附件等内容。</w:t>
      </w:r>
    </w:p>
    <w:p>
      <w:pPr>
        <w:spacing w:after="60" w:line="360" w:lineRule="auto"/>
        <w:ind w:firstLine="420" w:firstLineChars="200"/>
        <w:jc w:val="left"/>
        <w:rPr>
          <w:rFonts w:ascii="宋体" w:hAnsi="宋体"/>
          <w:szCs w:val="21"/>
        </w:rPr>
      </w:pPr>
      <w:r>
        <w:rPr>
          <w:rFonts w:hint="eastAsia" w:ascii="宋体" w:hAnsi="宋体"/>
          <w:szCs w:val="21"/>
        </w:rPr>
        <w:t>3、“通用条款”是通用于政府采购项目的基础性条款，具有普遍性和通用性。</w:t>
      </w:r>
    </w:p>
    <w:p>
      <w:pPr>
        <w:spacing w:after="60" w:line="360" w:lineRule="auto"/>
        <w:ind w:firstLine="420" w:firstLineChars="200"/>
        <w:jc w:val="left"/>
        <w:rPr>
          <w:rFonts w:ascii="宋体" w:hAnsi="宋体"/>
          <w:szCs w:val="21"/>
        </w:rPr>
      </w:pPr>
      <w:r>
        <w:rPr>
          <w:rFonts w:hint="eastAsia" w:ascii="宋体" w:hAnsi="宋体"/>
          <w:szCs w:val="21"/>
        </w:rPr>
        <w:t>4、当出现“专用条款”和“通用条款”表述不一致或有冲突时，以“专用条款”为准。</w:t>
      </w:r>
    </w:p>
    <w:p>
      <w:pPr>
        <w:widowControl/>
        <w:spacing w:afterLines="0" w:line="240" w:lineRule="auto"/>
        <w:jc w:val="left"/>
        <w:rPr>
          <w:rFonts w:ascii="宋体" w:hAnsi="宋体"/>
          <w:szCs w:val="21"/>
        </w:rPr>
      </w:pPr>
      <w:r>
        <w:rPr>
          <w:rFonts w:ascii="宋体" w:hAnsi="宋体"/>
          <w:szCs w:val="21"/>
        </w:rPr>
        <w:br w:type="page"/>
      </w:r>
    </w:p>
    <w:p>
      <w:pPr>
        <w:pStyle w:val="2"/>
        <w:pageBreakBefore/>
        <w:spacing w:after="60" w:line="360" w:lineRule="auto"/>
        <w:jc w:val="center"/>
        <w:rPr>
          <w:rStyle w:val="54"/>
          <w:b/>
          <w:bCs w:val="0"/>
        </w:rPr>
      </w:pPr>
      <w:r>
        <w:rPr>
          <w:rStyle w:val="54"/>
          <w:rFonts w:hint="eastAsia"/>
          <w:b/>
          <w:bCs w:val="0"/>
        </w:rPr>
        <w:t>第一册  专用条款</w:t>
      </w:r>
    </w:p>
    <w:p>
      <w:pPr>
        <w:pStyle w:val="3"/>
        <w:spacing w:after="60"/>
        <w:jc w:val="center"/>
        <w:rPr>
          <w:rStyle w:val="54"/>
          <w:rFonts w:eastAsia="黑体"/>
          <w:b/>
          <w:bCs/>
          <w:kern w:val="0"/>
          <w:sz w:val="32"/>
        </w:rPr>
      </w:pPr>
      <w:r>
        <w:rPr>
          <w:rStyle w:val="54"/>
          <w:rFonts w:hint="eastAsia" w:eastAsia="黑体"/>
          <w:b/>
          <w:bCs/>
          <w:kern w:val="0"/>
          <w:sz w:val="32"/>
        </w:rPr>
        <w:t>第一</w:t>
      </w:r>
      <w:r>
        <w:rPr>
          <w:rFonts w:hint="eastAsia"/>
        </w:rPr>
        <w:t>章  招标公告</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pPr>
        <w:spacing w:after="60"/>
        <w:ind w:firstLine="516" w:firstLineChars="245"/>
        <w:rPr>
          <w:rFonts w:ascii="宋体" w:hAnsi="宋体"/>
          <w:highlight w:val="yellow"/>
        </w:rPr>
      </w:pPr>
      <w:r>
        <w:rPr>
          <w:rFonts w:hint="eastAsia" w:asciiTheme="minorEastAsia" w:hAnsiTheme="minorEastAsia" w:eastAsiaTheme="minorEastAsia"/>
          <w:b/>
          <w:szCs w:val="21"/>
          <w:u w:val="single"/>
        </w:rPr>
        <w:t>深圳市2021年企业薪酬调查及工资指导价位制订项目</w:t>
      </w:r>
      <w:r>
        <w:rPr>
          <w:rFonts w:hint="eastAsia" w:cs="仿宋" w:asciiTheme="minorEastAsia" w:hAnsiTheme="minorEastAsia" w:eastAsiaTheme="minorEastAsia"/>
          <w:bCs/>
          <w:szCs w:val="21"/>
        </w:rPr>
        <w:t>招标项目</w:t>
      </w:r>
      <w:r>
        <w:rPr>
          <w:rFonts w:hint="eastAsia" w:cs="仿宋" w:asciiTheme="minorEastAsia" w:hAnsiTheme="minorEastAsia" w:eastAsiaTheme="minorEastAsia"/>
          <w:szCs w:val="21"/>
        </w:rPr>
        <w:t>的潜在投标人应在</w:t>
      </w:r>
      <w:r>
        <w:rPr>
          <w:rFonts w:hint="eastAsia" w:asciiTheme="minorEastAsia" w:hAnsiTheme="minorEastAsia" w:eastAsiaTheme="minorEastAsia"/>
          <w:b/>
          <w:szCs w:val="21"/>
          <w:u w:val="single"/>
        </w:rPr>
        <w:t>深圳交易集团有限公司政府采购业务分公司网站（www.szzfcg.cn）（深圳社会代理机构系统）</w:t>
      </w:r>
      <w:r>
        <w:rPr>
          <w:rFonts w:hint="eastAsia" w:cs="仿宋" w:asciiTheme="minorEastAsia" w:hAnsiTheme="minorEastAsia" w:eastAsiaTheme="minorEastAsia"/>
          <w:szCs w:val="21"/>
        </w:rPr>
        <w:t>获取招标文件，并于</w:t>
      </w:r>
      <w:r>
        <w:rPr>
          <w:rFonts w:hint="eastAsia" w:cs="仿宋" w:asciiTheme="minorEastAsia" w:hAnsiTheme="minorEastAsia" w:eastAsiaTheme="minorEastAsia"/>
          <w:b/>
          <w:szCs w:val="21"/>
          <w:u w:val="single"/>
        </w:rPr>
        <w:t>2021年6月7日14时30分</w:t>
      </w:r>
      <w:r>
        <w:rPr>
          <w:rFonts w:hint="eastAsia" w:cs="仿宋" w:asciiTheme="minorEastAsia" w:hAnsiTheme="minorEastAsia" w:eastAsiaTheme="minorEastAsia"/>
          <w:szCs w:val="21"/>
          <w:u w:val="single"/>
        </w:rPr>
        <w:t>（北京时间）</w:t>
      </w:r>
      <w:r>
        <w:rPr>
          <w:rFonts w:hint="eastAsia" w:cs="仿宋" w:asciiTheme="minorEastAsia" w:hAnsiTheme="minorEastAsia" w:eastAsiaTheme="minorEastAsia"/>
          <w:szCs w:val="21"/>
        </w:rPr>
        <w:t>前递交投标文件。</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二、项目基本情况</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1、项目编号：</w:t>
      </w:r>
      <w:r>
        <w:rPr>
          <w:rFonts w:ascii="宋体" w:hAnsi="宋体"/>
          <w:bCs/>
          <w:szCs w:val="21"/>
        </w:rPr>
        <w:t>SZDL2021337876</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2、项目名称：</w:t>
      </w:r>
      <w:r>
        <w:rPr>
          <w:rFonts w:hint="eastAsia" w:ascii="宋体" w:hAnsi="宋体"/>
          <w:bCs/>
          <w:szCs w:val="21"/>
        </w:rPr>
        <w:t>深圳市2021年企业薪酬调查及工资指导价位制订项目</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3、项目预算金额：人民币</w:t>
      </w:r>
      <w:r>
        <w:rPr>
          <w:rFonts w:hint="eastAsia" w:ascii="仿宋_GB2312" w:hAnsi="仿宋_GB2312" w:eastAsia="仿宋_GB2312" w:cs="仿宋_GB2312"/>
          <w:szCs w:val="21"/>
        </w:rPr>
        <w:t>2,674,270.00元</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4、项目最高限价：无</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5、采购需求：</w:t>
      </w:r>
      <w:r>
        <w:rPr>
          <w:rFonts w:hint="eastAsia" w:ascii="宋体" w:hAnsi="宋体"/>
          <w:bCs/>
          <w:szCs w:val="21"/>
        </w:rPr>
        <w:t>本项目为深圳市2021年企业薪酬调查及工资指导价位制订项目，具体采购需求内容详见招标文件。</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6、合同履行期限：</w:t>
      </w:r>
      <w:r>
        <w:rPr>
          <w:rFonts w:hint="eastAsia" w:ascii="宋体" w:hAnsi="宋体"/>
          <w:szCs w:val="21"/>
        </w:rPr>
        <w:t>详见招标文件</w:t>
      </w:r>
      <w:r>
        <w:rPr>
          <w:rFonts w:hint="eastAsia" w:cs="仿宋" w:asciiTheme="minorEastAsia" w:hAnsiTheme="minorEastAsia" w:eastAsiaTheme="minorEastAsia"/>
          <w:szCs w:val="21"/>
        </w:rPr>
        <w:t>。</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7、本项目不接受联合体投标。</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三、申请人的资格要求：</w:t>
      </w:r>
    </w:p>
    <w:p>
      <w:pPr>
        <w:adjustRightInd w:val="0"/>
        <w:spacing w:afterLines="0" w:line="360" w:lineRule="auto"/>
        <w:ind w:firstLine="420" w:firstLineChars="200"/>
        <w:rPr>
          <w:rFonts w:ascii="宋体" w:hAnsi="宋体"/>
          <w:szCs w:val="21"/>
        </w:rPr>
      </w:pPr>
      <w:r>
        <w:rPr>
          <w:rFonts w:hint="eastAsia" w:ascii="宋体" w:hAnsi="宋体"/>
          <w:szCs w:val="21"/>
        </w:rPr>
        <w:t>1、具有独立法人资格或具有独立承担民事责任的能力的其它组织（提供营业执照或事业单位法人证等法人证明扫描件，原件备查）</w:t>
      </w:r>
      <w:r>
        <w:rPr>
          <w:rFonts w:hint="eastAsia" w:ascii="宋体" w:hAnsi="宋体"/>
          <w:szCs w:val="21"/>
          <w:shd w:val="clear" w:color="auto" w:fill="FFFFFF"/>
        </w:rPr>
        <w:t>；</w:t>
      </w:r>
    </w:p>
    <w:p>
      <w:pPr>
        <w:adjustRightInd w:val="0"/>
        <w:spacing w:afterLines="0" w:line="360" w:lineRule="auto"/>
        <w:ind w:firstLine="420" w:firstLineChars="200"/>
        <w:rPr>
          <w:rFonts w:ascii="宋体" w:hAnsi="宋体"/>
          <w:szCs w:val="21"/>
        </w:rPr>
      </w:pPr>
      <w:r>
        <w:rPr>
          <w:rFonts w:hint="eastAsia" w:ascii="宋体" w:hAnsi="宋体"/>
          <w:szCs w:val="21"/>
        </w:rPr>
        <w:t>2、</w:t>
      </w:r>
      <w:r>
        <w:rPr>
          <w:rFonts w:hint="eastAsia" w:ascii="宋体" w:hAnsi="宋体"/>
          <w:szCs w:val="21"/>
          <w:shd w:val="clear" w:color="auto" w:fill="FFFFFF"/>
        </w:rPr>
        <w:t>供应商必须具有深圳市政府采购注册供应商资格（在深圳市政府采购供应商库中显示有效，供应商注册网址：</w:t>
      </w:r>
      <w:r>
        <w:fldChar w:fldCharType="begin"/>
      </w:r>
      <w:r>
        <w:instrText xml:space="preserve"> HYPERLINK "http://www.szzfcg.cn/" </w:instrText>
      </w:r>
      <w:r>
        <w:fldChar w:fldCharType="separate"/>
      </w:r>
      <w:r>
        <w:rPr>
          <w:rFonts w:hint="eastAsia" w:ascii="宋体" w:hAnsi="宋体"/>
          <w:szCs w:val="21"/>
        </w:rPr>
        <w:t>http://www.szzfcg.cn</w:t>
      </w:r>
      <w:r>
        <w:rPr>
          <w:rFonts w:hint="eastAsia" w:ascii="宋体" w:hAnsi="宋体"/>
          <w:szCs w:val="21"/>
        </w:rPr>
        <w:fldChar w:fldCharType="end"/>
      </w:r>
      <w:r>
        <w:rPr>
          <w:rFonts w:hint="eastAsia" w:ascii="宋体" w:hAnsi="宋体"/>
          <w:szCs w:val="21"/>
          <w:shd w:val="clear" w:color="auto" w:fill="FFFFFF"/>
        </w:rPr>
        <w:t>，供应商无需提供证明文件，由招标机构进行查询）</w:t>
      </w:r>
      <w:r>
        <w:rPr>
          <w:rFonts w:hint="eastAsia" w:ascii="宋体" w:hAnsi="宋体"/>
          <w:szCs w:val="21"/>
        </w:rPr>
        <w:t>；</w:t>
      </w:r>
    </w:p>
    <w:p>
      <w:pPr>
        <w:adjustRightInd w:val="0"/>
        <w:spacing w:afterLines="0" w:line="360" w:lineRule="auto"/>
        <w:ind w:firstLine="420" w:firstLineChars="200"/>
        <w:rPr>
          <w:rFonts w:cs="宋体" w:asciiTheme="minorEastAsia" w:hAnsiTheme="minorEastAsia"/>
          <w:kern w:val="0"/>
          <w:szCs w:val="21"/>
        </w:rPr>
      </w:pPr>
      <w:r>
        <w:rPr>
          <w:rFonts w:hint="eastAsia" w:ascii="宋体" w:hAnsi="宋体"/>
          <w:szCs w:val="21"/>
        </w:rPr>
        <w:t>3、本项目不接受联合体投标，不接受投标人选用进口产品参与投标</w:t>
      </w:r>
      <w:r>
        <w:rPr>
          <w:rFonts w:hint="eastAsia" w:cs="宋体" w:asciiTheme="minorEastAsia" w:hAnsiTheme="minorEastAsia"/>
          <w:kern w:val="0"/>
          <w:szCs w:val="21"/>
        </w:rPr>
        <w:t>；</w:t>
      </w:r>
    </w:p>
    <w:p>
      <w:pPr>
        <w:adjustRightInd w:val="0"/>
        <w:spacing w:afterLines="0" w:line="360" w:lineRule="auto"/>
        <w:ind w:firstLine="420" w:firstLineChars="200"/>
        <w:rPr>
          <w:rFonts w:ascii="宋体" w:hAnsi="宋体"/>
          <w:szCs w:val="21"/>
        </w:rPr>
      </w:pPr>
      <w:r>
        <w:rPr>
          <w:rFonts w:hint="eastAsia" w:cs="宋体" w:asciiTheme="minorEastAsia" w:hAnsiTheme="minorEastAsia"/>
          <w:kern w:val="0"/>
          <w:szCs w:val="21"/>
        </w:rPr>
        <w:t>4、</w:t>
      </w:r>
      <w:r>
        <w:rPr>
          <w:rFonts w:hint="eastAsia" w:ascii="宋体" w:hAnsi="宋体"/>
          <w:szCs w:val="21"/>
        </w:rPr>
        <w:t>具备《中华人民共和国政府采购法》第二十二条第一款的条件</w:t>
      </w:r>
      <w:r>
        <w:rPr>
          <w:szCs w:val="21"/>
        </w:rPr>
        <w:t>（由供应商在《政府采购投标及履约承诺函》中作出承诺）</w:t>
      </w:r>
      <w:r>
        <w:rPr>
          <w:rFonts w:hint="eastAsia"/>
          <w:szCs w:val="21"/>
        </w:rPr>
        <w:t>；</w:t>
      </w:r>
    </w:p>
    <w:p>
      <w:pPr>
        <w:adjustRightInd w:val="0"/>
        <w:spacing w:afterLines="0" w:line="360" w:lineRule="auto"/>
        <w:ind w:firstLine="420" w:firstLineChars="200"/>
        <w:rPr>
          <w:rFonts w:ascii="宋体" w:hAnsi="宋体"/>
          <w:szCs w:val="21"/>
        </w:rPr>
      </w:pPr>
      <w:r>
        <w:rPr>
          <w:rFonts w:hint="eastAsia" w:ascii="宋体" w:hAnsi="宋体" w:cs="宋体"/>
          <w:szCs w:val="21"/>
        </w:rPr>
        <w:t>5、</w:t>
      </w:r>
      <w:r>
        <w:rPr>
          <w:rFonts w:hint="eastAsia" w:asciiTheme="minorEastAsia" w:hAnsiTheme="minorEastAsia" w:eastAsiaTheme="minorEastAsia"/>
          <w:szCs w:val="21"/>
        </w:rPr>
        <w:t>参与本项目投标前三年内，在经营活动中没有重大违法记录（</w:t>
      </w:r>
      <w:r>
        <w:rPr>
          <w:szCs w:val="21"/>
        </w:rPr>
        <w:t>由供应商在《政府采购投标及履约承诺函》中作出承诺</w:t>
      </w:r>
      <w:r>
        <w:rPr>
          <w:rFonts w:hint="eastAsia" w:asciiTheme="minorEastAsia" w:hAnsiTheme="minorEastAsia" w:eastAsiaTheme="minorEastAsia"/>
          <w:szCs w:val="21"/>
        </w:rPr>
        <w:t>）</w:t>
      </w:r>
      <w:r>
        <w:rPr>
          <w:rFonts w:hint="eastAsia" w:ascii="宋体" w:hAnsi="宋体" w:cs="宋体"/>
          <w:szCs w:val="21"/>
        </w:rPr>
        <w:t>；</w:t>
      </w:r>
    </w:p>
    <w:p>
      <w:pPr>
        <w:adjustRightInd w:val="0"/>
        <w:spacing w:afterLines="0" w:line="360" w:lineRule="auto"/>
        <w:ind w:firstLine="420" w:firstLineChars="200"/>
        <w:rPr>
          <w:rFonts w:ascii="宋体" w:hAnsi="宋体"/>
          <w:szCs w:val="21"/>
        </w:rPr>
      </w:pPr>
      <w:r>
        <w:rPr>
          <w:rFonts w:hint="eastAsia" w:ascii="宋体" w:hAnsi="宋体"/>
          <w:szCs w:val="21"/>
        </w:rPr>
        <w:t>6、</w:t>
      </w:r>
      <w:r>
        <w:rPr>
          <w:rFonts w:hint="eastAsia" w:asciiTheme="minorEastAsia" w:hAnsiTheme="minorEastAsia" w:eastAsiaTheme="minorEastAsia"/>
          <w:szCs w:val="21"/>
        </w:rPr>
        <w:t>参与本项目政府采购活动时不存在被有关部门禁止参与政府采购活动且在有效期内的情况（</w:t>
      </w:r>
      <w:r>
        <w:rPr>
          <w:szCs w:val="21"/>
        </w:rPr>
        <w:t>由供应商在《政府采购投标及履约承诺函》中作出承诺</w:t>
      </w:r>
      <w:r>
        <w:rPr>
          <w:rFonts w:hint="eastAsia" w:asciiTheme="minorEastAsia" w:hAnsiTheme="minorEastAsia" w:eastAsiaTheme="minorEastAsia"/>
          <w:szCs w:val="21"/>
        </w:rPr>
        <w:t>）</w:t>
      </w:r>
      <w:r>
        <w:rPr>
          <w:rFonts w:hint="eastAsia" w:ascii="宋体" w:hAnsi="宋体"/>
          <w:szCs w:val="21"/>
        </w:rPr>
        <w:t>；</w:t>
      </w:r>
    </w:p>
    <w:p>
      <w:pPr>
        <w:adjustRightInd w:val="0"/>
        <w:spacing w:afterLines="0" w:line="360" w:lineRule="auto"/>
        <w:ind w:firstLine="420" w:firstLineChars="200"/>
        <w:rPr>
          <w:rFonts w:ascii="宋体" w:hAnsi="宋体"/>
          <w:szCs w:val="21"/>
          <w:shd w:val="clear" w:color="auto" w:fill="FFFFFF"/>
        </w:rPr>
      </w:pPr>
      <w:r>
        <w:rPr>
          <w:rFonts w:hint="eastAsia" w:ascii="宋体" w:hAnsi="宋体"/>
          <w:szCs w:val="21"/>
          <w:shd w:val="clear" w:color="auto" w:fill="FFFFFF"/>
        </w:rPr>
        <w:t>7、</w:t>
      </w:r>
      <w:r>
        <w:rPr>
          <w:rFonts w:hint="eastAsia"/>
          <w:szCs w:val="21"/>
        </w:rPr>
        <w:t>参与本项目政府采购时未被列入失信被执行人、重大税收违法案件当事人名单、政府采购严重违法失信行为记录名单（</w:t>
      </w:r>
      <w:r>
        <w:rPr>
          <w:szCs w:val="21"/>
        </w:rPr>
        <w:t>由供应商在《政府采购投标及履约承诺函》中作出承诺</w:t>
      </w:r>
      <w:r>
        <w:rPr>
          <w:rFonts w:hint="eastAsia"/>
          <w:szCs w:val="21"/>
        </w:rPr>
        <w:t>）</w:t>
      </w:r>
      <w:r>
        <w:rPr>
          <w:rFonts w:hint="eastAsia" w:ascii="宋体" w:hAnsi="宋体"/>
          <w:szCs w:val="21"/>
          <w:shd w:val="clear" w:color="auto" w:fill="FFFFFF"/>
        </w:rPr>
        <w:t>；</w:t>
      </w:r>
    </w:p>
    <w:p>
      <w:pPr>
        <w:adjustRightInd w:val="0"/>
        <w:spacing w:afterLines="0"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w:t>
      </w:r>
      <w:r>
        <w:rPr>
          <w:rFonts w:hint="eastAsia" w:ascii="宋体" w:hAnsi="宋体"/>
        </w:rPr>
        <w:t>本项目的特定资格要求：无</w:t>
      </w:r>
      <w:r>
        <w:rPr>
          <w:rFonts w:hint="eastAsia" w:cs="宋体" w:asciiTheme="minorEastAsia" w:hAnsiTheme="minorEastAsia" w:eastAsiaTheme="minorEastAsia"/>
          <w:kern w:val="0"/>
          <w:szCs w:val="21"/>
        </w:rPr>
        <w:t>；</w:t>
      </w:r>
    </w:p>
    <w:p>
      <w:pPr>
        <w:adjustRightInd w:val="0"/>
        <w:spacing w:afterLines="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9、落实政府采购政策需满足的资格要求：无；</w:t>
      </w:r>
    </w:p>
    <w:p>
      <w:pPr>
        <w:adjustRightInd w:val="0"/>
        <w:spacing w:afterLines="0" w:line="360" w:lineRule="auto"/>
        <w:ind w:firstLine="420" w:firstLineChars="200"/>
        <w:rPr>
          <w:rFonts w:ascii="Times New Roman" w:hAnsi="Times New Roman"/>
          <w:szCs w:val="21"/>
        </w:rPr>
      </w:pPr>
      <w:r>
        <w:rPr>
          <w:rFonts w:hint="eastAsia"/>
          <w:szCs w:val="21"/>
          <w:shd w:val="clear" w:color="auto" w:fill="FFFFFF"/>
        </w:rPr>
        <w:t>注：“信用中国”、“中国政府采购网”以及“深圳市政府采购监管网”为供应商信用信息的查询渠道，相关信息以中标通知书发出前的查询结果为准。</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四、获取招标文件</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1、获取招标文件时间：</w:t>
      </w:r>
      <w:r>
        <w:rPr>
          <w:rFonts w:hint="eastAsia" w:asciiTheme="minorEastAsia" w:hAnsiTheme="minorEastAsia" w:eastAsiaTheme="minorEastAsia"/>
          <w:szCs w:val="21"/>
        </w:rPr>
        <w:t>凡已注册的深圳市网上政府采购供应商，按照授予的操作权限，可于</w:t>
      </w:r>
      <w:r>
        <w:rPr>
          <w:rFonts w:asciiTheme="minorEastAsia" w:hAnsiTheme="minorEastAsia" w:eastAsiaTheme="minorEastAsia"/>
          <w:b/>
          <w:szCs w:val="21"/>
        </w:rPr>
        <w:t>2021年</w:t>
      </w:r>
      <w:r>
        <w:rPr>
          <w:rFonts w:hint="eastAsia" w:asciiTheme="minorEastAsia" w:hAnsiTheme="minorEastAsia" w:eastAsiaTheme="minorEastAsia"/>
          <w:b/>
          <w:szCs w:val="21"/>
        </w:rPr>
        <w:t>5月26日18</w:t>
      </w:r>
      <w:r>
        <w:rPr>
          <w:rFonts w:asciiTheme="minorEastAsia" w:hAnsiTheme="minorEastAsia" w:eastAsiaTheme="minorEastAsia"/>
          <w:b/>
          <w:szCs w:val="21"/>
        </w:rPr>
        <w:t>:00</w:t>
      </w:r>
      <w:r>
        <w:rPr>
          <w:rFonts w:hint="eastAsia" w:asciiTheme="minorEastAsia" w:hAnsiTheme="minorEastAsia" w:eastAsiaTheme="minorEastAsia"/>
          <w:b/>
          <w:szCs w:val="21"/>
        </w:rPr>
        <w:t>至</w:t>
      </w:r>
      <w:r>
        <w:rPr>
          <w:rFonts w:asciiTheme="minorEastAsia" w:hAnsiTheme="minorEastAsia" w:eastAsiaTheme="minorEastAsia"/>
          <w:b/>
          <w:szCs w:val="21"/>
        </w:rPr>
        <w:t>2021年</w:t>
      </w:r>
      <w:r>
        <w:rPr>
          <w:rFonts w:hint="eastAsia" w:asciiTheme="minorEastAsia" w:hAnsiTheme="minorEastAsia" w:eastAsiaTheme="minorEastAsia"/>
          <w:b/>
          <w:szCs w:val="21"/>
        </w:rPr>
        <w:t>6月7日14</w:t>
      </w:r>
      <w:r>
        <w:rPr>
          <w:rFonts w:asciiTheme="minorEastAsia" w:hAnsiTheme="minorEastAsia" w:eastAsiaTheme="minorEastAsia"/>
          <w:b/>
          <w:szCs w:val="21"/>
        </w:rPr>
        <w:t>:</w:t>
      </w:r>
      <w:r>
        <w:rPr>
          <w:rFonts w:hint="eastAsia" w:asciiTheme="minorEastAsia" w:hAnsiTheme="minorEastAsia" w:eastAsiaTheme="minorEastAsia"/>
          <w:b/>
          <w:szCs w:val="21"/>
        </w:rPr>
        <w:t>30</w:t>
      </w:r>
      <w:r>
        <w:rPr>
          <w:rFonts w:hint="eastAsia" w:asciiTheme="minorEastAsia" w:hAnsiTheme="minorEastAsia" w:eastAsiaTheme="minorEastAsia"/>
          <w:szCs w:val="21"/>
        </w:rPr>
        <w:t>（北京时间）时期间登录“深圳交易集团有限公司政府采购业务分公司网站（www.szzfcg.cn）（深圳社会代理机构系统）”下载本项目的招标文件。投标人如确定参加投标，首先要在“深圳交易集团有限公司政府采购业务分公司网站（深圳社会代理机构系统）”报名投标，方法为登录“深圳交易集团有限公司政府采购业务分公司网站（www.szzfcg.cn）（深圳社会代理机构系统）”后点击“应标管理→投标响应”或“应标管理→确认邀请”；如果网上报名后又不参加投标，应再到【应标管理】→【投标响应】功能点中点击“撤销响应”；如果网上报名后上传了投标文件，又不参加投标，应再到【应标管理】→【上传投标文件】功能点中进行“撤标”操作；如果是未注册为深圳政府采购的供应商，请访问深圳交易集团有限公司政府采购业务分公司网站，先办理注册手续，再进行投标报名。在网上报名后，点击“应标管理→下载招标文件”进行招标文件的下载；</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2、获取招标文件</w:t>
      </w:r>
      <w:r>
        <w:rPr>
          <w:rFonts w:hint="eastAsia" w:ascii="宋体" w:hAnsi="宋体"/>
          <w:szCs w:val="21"/>
        </w:rPr>
        <w:t>地点</w:t>
      </w:r>
      <w:r>
        <w:rPr>
          <w:rFonts w:hint="eastAsia" w:cs="仿宋" w:asciiTheme="minorEastAsia" w:hAnsiTheme="minorEastAsia" w:eastAsiaTheme="minorEastAsia"/>
          <w:szCs w:val="21"/>
        </w:rPr>
        <w:t>：</w:t>
      </w:r>
      <w:r>
        <w:rPr>
          <w:rFonts w:asciiTheme="minorEastAsia" w:hAnsiTheme="minorEastAsia" w:eastAsiaTheme="minorEastAsia"/>
          <w:szCs w:val="21"/>
        </w:rPr>
        <w:t>登录</w:t>
      </w:r>
      <w:r>
        <w:rPr>
          <w:rFonts w:hint="eastAsia" w:asciiTheme="minorEastAsia" w:hAnsiTheme="minorEastAsia" w:eastAsiaTheme="minorEastAsia"/>
          <w:szCs w:val="21"/>
        </w:rPr>
        <w:t>“深圳交易集团有限公司政府采购业务分公司网站（www.szzfcg.cn）（深圳社会代理机构系统）”</w:t>
      </w:r>
      <w:r>
        <w:rPr>
          <w:rFonts w:asciiTheme="minorEastAsia" w:hAnsiTheme="minorEastAsia" w:eastAsiaTheme="minorEastAsia"/>
          <w:szCs w:val="21"/>
        </w:rPr>
        <w:t>下载本项目的招标文件</w:t>
      </w:r>
      <w:r>
        <w:rPr>
          <w:rFonts w:hint="eastAsia" w:asciiTheme="minorEastAsia" w:hAnsiTheme="minorEastAsia" w:eastAsiaTheme="minorEastAsia"/>
          <w:szCs w:val="21"/>
        </w:rPr>
        <w:t>；</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3、获取招标文件方式：在线下载。</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4、招标文件售价：</w:t>
      </w:r>
      <w:r>
        <w:rPr>
          <w:rFonts w:hint="eastAsia" w:ascii="宋体" w:hAnsi="宋体"/>
          <w:szCs w:val="21"/>
        </w:rPr>
        <w:t>免费。</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五、提交投标文件截止时间、开标时间和地点</w:t>
      </w:r>
    </w:p>
    <w:p>
      <w:pPr>
        <w:widowControl/>
        <w:spacing w:afterLines="0" w:line="360" w:lineRule="auto"/>
        <w:ind w:firstLine="421" w:firstLineChars="200"/>
        <w:jc w:val="left"/>
        <w:rPr>
          <w:rFonts w:cs="仿宋" w:asciiTheme="minorEastAsia" w:hAnsiTheme="minorEastAsia" w:eastAsiaTheme="minorEastAsia"/>
          <w:szCs w:val="21"/>
        </w:rPr>
      </w:pPr>
      <w:r>
        <w:rPr>
          <w:rFonts w:hint="eastAsia" w:cs="仿宋" w:asciiTheme="minorEastAsia" w:hAnsiTheme="minorEastAsia" w:eastAsiaTheme="minorEastAsia"/>
          <w:b/>
          <w:szCs w:val="21"/>
        </w:rPr>
        <w:t>1、提交投标文件截止时间：</w:t>
      </w:r>
      <w:r>
        <w:rPr>
          <w:rFonts w:ascii="宋体" w:hAnsi="宋体"/>
          <w:szCs w:val="21"/>
        </w:rPr>
        <w:t>所有投标文件应于</w:t>
      </w:r>
      <w:r>
        <w:rPr>
          <w:rFonts w:ascii="宋体" w:hAnsi="宋体"/>
          <w:b/>
          <w:szCs w:val="21"/>
        </w:rPr>
        <w:t>2021年</w:t>
      </w:r>
      <w:r>
        <w:rPr>
          <w:rFonts w:hint="eastAsia" w:ascii="宋体" w:hAnsi="宋体"/>
          <w:b/>
          <w:szCs w:val="21"/>
        </w:rPr>
        <w:t>6</w:t>
      </w:r>
      <w:r>
        <w:rPr>
          <w:rFonts w:ascii="宋体" w:hAnsi="宋体"/>
          <w:b/>
          <w:szCs w:val="21"/>
        </w:rPr>
        <w:t>月</w:t>
      </w:r>
      <w:r>
        <w:rPr>
          <w:rFonts w:hint="eastAsia" w:ascii="宋体" w:hAnsi="宋体"/>
          <w:b/>
          <w:szCs w:val="21"/>
        </w:rPr>
        <w:t>7</w:t>
      </w:r>
      <w:r>
        <w:rPr>
          <w:rFonts w:ascii="宋体" w:hAnsi="宋体"/>
          <w:b/>
          <w:szCs w:val="21"/>
        </w:rPr>
        <w:t>日</w:t>
      </w:r>
      <w:r>
        <w:rPr>
          <w:rFonts w:hint="eastAsia" w:ascii="宋体" w:hAnsi="宋体"/>
          <w:b/>
          <w:szCs w:val="21"/>
        </w:rPr>
        <w:t>14</w:t>
      </w:r>
      <w:r>
        <w:rPr>
          <w:rFonts w:ascii="宋体" w:hAnsi="宋体"/>
          <w:b/>
          <w:szCs w:val="21"/>
        </w:rPr>
        <w:t>:</w:t>
      </w:r>
      <w:r>
        <w:rPr>
          <w:rFonts w:hint="eastAsia" w:ascii="宋体" w:hAnsi="宋体"/>
          <w:b/>
          <w:szCs w:val="21"/>
        </w:rPr>
        <w:t>3</w:t>
      </w:r>
      <w:r>
        <w:rPr>
          <w:rFonts w:ascii="宋体" w:hAnsi="宋体"/>
          <w:b/>
          <w:szCs w:val="21"/>
        </w:rPr>
        <w:t>0时</w:t>
      </w:r>
      <w:r>
        <w:rPr>
          <w:rFonts w:ascii="宋体" w:hAnsi="宋体"/>
          <w:szCs w:val="21"/>
        </w:rPr>
        <w:t>之前上传到</w:t>
      </w:r>
      <w:r>
        <w:rPr>
          <w:rFonts w:hint="eastAsia" w:ascii="宋体" w:hAnsi="宋体"/>
          <w:szCs w:val="21"/>
        </w:rPr>
        <w:t>深圳交易集团有限公司政府采购业务分公司网站（www.szzfcg.cn）（深圳社会代理机构系统）</w:t>
      </w:r>
      <w:r>
        <w:rPr>
          <w:rFonts w:ascii="宋体" w:hAnsi="宋体"/>
          <w:szCs w:val="21"/>
        </w:rPr>
        <w:t>。具体操作为登录</w:t>
      </w:r>
      <w:r>
        <w:rPr>
          <w:rFonts w:hint="eastAsia" w:asciiTheme="minorEastAsia" w:hAnsiTheme="minorEastAsia" w:eastAsiaTheme="minorEastAsia"/>
          <w:szCs w:val="21"/>
        </w:rPr>
        <w:t>“深圳交易集团有限公司政府采购业务分公司网站（www.szzfcg.cn）（深圳社会代理机构系统）”</w:t>
      </w:r>
      <w:r>
        <w:rPr>
          <w:rFonts w:ascii="宋体" w:hAnsi="宋体"/>
          <w:szCs w:val="21"/>
        </w:rPr>
        <w:t>，用“应标管理→上传投标文件”功能点上传投标文件。本项目电子投标文件最大容量为100MB，超过此容量的文件将被拒绝</w:t>
      </w:r>
      <w:r>
        <w:rPr>
          <w:rFonts w:hint="eastAsia" w:cs="仿宋" w:asciiTheme="minorEastAsia" w:hAnsiTheme="minorEastAsia" w:eastAsiaTheme="minorEastAsia"/>
          <w:szCs w:val="21"/>
        </w:rPr>
        <w:t>；</w:t>
      </w:r>
    </w:p>
    <w:p>
      <w:pPr>
        <w:widowControl/>
        <w:spacing w:afterLines="0" w:line="360" w:lineRule="auto"/>
        <w:ind w:firstLine="421" w:firstLineChars="200"/>
        <w:jc w:val="left"/>
        <w:rPr>
          <w:rFonts w:cs="仿宋" w:asciiTheme="minorEastAsia" w:hAnsiTheme="minorEastAsia" w:eastAsiaTheme="minorEastAsia"/>
          <w:szCs w:val="21"/>
        </w:rPr>
      </w:pPr>
      <w:r>
        <w:rPr>
          <w:rFonts w:hint="eastAsia" w:cs="仿宋" w:asciiTheme="minorEastAsia" w:hAnsiTheme="minorEastAsia" w:eastAsiaTheme="minorEastAsia"/>
          <w:b/>
          <w:szCs w:val="21"/>
        </w:rPr>
        <w:t>2、开标时间和地点</w:t>
      </w:r>
      <w:r>
        <w:rPr>
          <w:rFonts w:hint="eastAsia" w:cs="仿宋" w:asciiTheme="minorEastAsia" w:hAnsiTheme="minorEastAsia" w:eastAsiaTheme="minorEastAsia"/>
          <w:szCs w:val="21"/>
        </w:rPr>
        <w:t>：</w:t>
      </w:r>
      <w:r>
        <w:rPr>
          <w:rFonts w:ascii="宋体" w:hAnsi="宋体"/>
          <w:szCs w:val="21"/>
        </w:rPr>
        <w:t>定于</w:t>
      </w:r>
      <w:r>
        <w:rPr>
          <w:rFonts w:ascii="宋体" w:hAnsi="宋体"/>
          <w:b/>
          <w:szCs w:val="21"/>
        </w:rPr>
        <w:t>2021年</w:t>
      </w:r>
      <w:r>
        <w:rPr>
          <w:rFonts w:hint="eastAsia" w:ascii="宋体" w:hAnsi="宋体"/>
          <w:b/>
          <w:szCs w:val="21"/>
        </w:rPr>
        <w:t>6</w:t>
      </w:r>
      <w:r>
        <w:rPr>
          <w:rFonts w:ascii="宋体" w:hAnsi="宋体"/>
          <w:b/>
          <w:szCs w:val="21"/>
        </w:rPr>
        <w:t>月</w:t>
      </w:r>
      <w:r>
        <w:rPr>
          <w:rFonts w:hint="eastAsia" w:ascii="宋体" w:hAnsi="宋体"/>
          <w:b/>
          <w:szCs w:val="21"/>
        </w:rPr>
        <w:t>7</w:t>
      </w:r>
      <w:r>
        <w:rPr>
          <w:rFonts w:ascii="宋体" w:hAnsi="宋体"/>
          <w:b/>
          <w:szCs w:val="21"/>
        </w:rPr>
        <w:t>日</w:t>
      </w:r>
      <w:r>
        <w:rPr>
          <w:rFonts w:hint="eastAsia" w:ascii="宋体" w:hAnsi="宋体"/>
          <w:b/>
          <w:szCs w:val="21"/>
        </w:rPr>
        <w:t>14</w:t>
      </w:r>
      <w:r>
        <w:rPr>
          <w:rFonts w:ascii="宋体" w:hAnsi="宋体"/>
          <w:b/>
          <w:szCs w:val="21"/>
        </w:rPr>
        <w:t>:</w:t>
      </w:r>
      <w:r>
        <w:rPr>
          <w:rFonts w:hint="eastAsia" w:ascii="宋体" w:hAnsi="宋体"/>
          <w:b/>
          <w:szCs w:val="21"/>
        </w:rPr>
        <w:t>30</w:t>
      </w:r>
      <w:r>
        <w:rPr>
          <w:rFonts w:ascii="宋体" w:hAnsi="宋体"/>
          <w:b/>
          <w:szCs w:val="21"/>
        </w:rPr>
        <w:t>时</w:t>
      </w:r>
      <w:r>
        <w:rPr>
          <w:rFonts w:ascii="宋体" w:hAnsi="宋体"/>
          <w:szCs w:val="21"/>
        </w:rPr>
        <w:t>，在</w:t>
      </w:r>
      <w:r>
        <w:rPr>
          <w:rFonts w:hint="eastAsia" w:ascii="宋体" w:hAnsi="宋体"/>
          <w:szCs w:val="21"/>
        </w:rPr>
        <w:t>深圳高星项目管理有限公司公开</w:t>
      </w:r>
      <w:r>
        <w:rPr>
          <w:rFonts w:ascii="宋体" w:hAnsi="宋体"/>
          <w:szCs w:val="21"/>
        </w:rPr>
        <w:t>开标。供应商可以登录“</w:t>
      </w:r>
      <w:r>
        <w:t>深圳交易集团有限公司政府采购业务分公司网站</w:t>
      </w:r>
      <w:r>
        <w:rPr>
          <w:rFonts w:ascii="宋体" w:hAnsi="宋体"/>
          <w:szCs w:val="21"/>
        </w:rPr>
        <w:t>”，用“采购项目查询及管理→查看开标一览表”功能点查询开标情况。</w:t>
      </w:r>
      <w:r>
        <w:rPr>
          <w:rFonts w:hint="eastAsia" w:ascii="宋体" w:hAnsi="宋体"/>
          <w:szCs w:val="21"/>
        </w:rPr>
        <w:t>地点：深圳市福田区泰然九路天地源盛唐大厦东座</w:t>
      </w:r>
      <w:r>
        <w:rPr>
          <w:rFonts w:ascii="宋体" w:hAnsi="宋体"/>
          <w:szCs w:val="21"/>
        </w:rPr>
        <w:t>1403</w:t>
      </w:r>
      <w:r>
        <w:rPr>
          <w:rFonts w:hint="eastAsia" w:ascii="宋体" w:hAnsi="宋体"/>
          <w:szCs w:val="21"/>
        </w:rPr>
        <w:t>。</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六、公告期限</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自本公告发布之日起</w:t>
      </w:r>
      <w:r>
        <w:rPr>
          <w:rFonts w:cs="仿宋" w:asciiTheme="minorEastAsia" w:hAnsiTheme="minorEastAsia" w:eastAsiaTheme="minorEastAsia"/>
          <w:szCs w:val="21"/>
        </w:rPr>
        <w:t>5</w:t>
      </w:r>
      <w:r>
        <w:rPr>
          <w:rFonts w:hint="eastAsia" w:cs="仿宋" w:asciiTheme="minorEastAsia" w:hAnsiTheme="minorEastAsia" w:eastAsiaTheme="minorEastAsia"/>
          <w:szCs w:val="21"/>
        </w:rPr>
        <w:t>个工作日。</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七、其他补充事宜</w:t>
      </w:r>
    </w:p>
    <w:p>
      <w:pPr>
        <w:adjustRightInd w:val="0"/>
        <w:spacing w:afterLines="0"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w:t>
      </w:r>
      <w:r>
        <w:rPr>
          <w:rFonts w:hint="eastAsia" w:ascii="Times New Roman" w:hAnsi="Times New Roman"/>
          <w:szCs w:val="21"/>
        </w:rPr>
        <w:t>本项目实行网上投标，采用电子投标文件。</w:t>
      </w:r>
    </w:p>
    <w:p>
      <w:pPr>
        <w:adjustRightInd w:val="0"/>
        <w:spacing w:afterLines="0" w:line="360" w:lineRule="auto"/>
        <w:ind w:firstLine="420" w:firstLineChars="200"/>
        <w:rPr>
          <w:rFonts w:ascii="宋体" w:hAnsi="宋体" w:cs="宋体"/>
          <w:kern w:val="0"/>
          <w:szCs w:val="21"/>
        </w:rPr>
      </w:pPr>
      <w:r>
        <w:rPr>
          <w:rFonts w:hint="eastAsia" w:ascii="宋体" w:hAnsi="宋体"/>
          <w:szCs w:val="21"/>
        </w:rPr>
        <w:t>2、</w:t>
      </w:r>
      <w:r>
        <w:rPr>
          <w:rFonts w:hint="eastAsia" w:ascii="Times New Roman" w:hAnsi="Times New Roman"/>
          <w:szCs w:val="21"/>
        </w:rPr>
        <w:t>答疑事项：</w:t>
      </w:r>
      <w:r>
        <w:rPr>
          <w:rFonts w:ascii="宋体" w:hAnsi="宋体"/>
          <w:b/>
          <w:szCs w:val="21"/>
        </w:rPr>
        <w:t>2021年</w:t>
      </w:r>
      <w:r>
        <w:rPr>
          <w:rFonts w:hint="eastAsia" w:ascii="宋体" w:hAnsi="宋体"/>
          <w:b/>
          <w:szCs w:val="21"/>
        </w:rPr>
        <w:t>6</w:t>
      </w:r>
      <w:r>
        <w:rPr>
          <w:rFonts w:ascii="宋体" w:hAnsi="宋体"/>
          <w:b/>
          <w:szCs w:val="21"/>
        </w:rPr>
        <w:t>月</w:t>
      </w:r>
      <w:r>
        <w:rPr>
          <w:rFonts w:hint="eastAsia" w:ascii="宋体" w:hAnsi="宋体"/>
          <w:b/>
          <w:szCs w:val="21"/>
        </w:rPr>
        <w:t>2</w:t>
      </w:r>
      <w:r>
        <w:rPr>
          <w:rFonts w:ascii="宋体" w:hAnsi="宋体"/>
          <w:b/>
          <w:szCs w:val="21"/>
        </w:rPr>
        <w:t>日</w:t>
      </w:r>
      <w:r>
        <w:rPr>
          <w:rFonts w:hint="eastAsia" w:ascii="宋体" w:hAnsi="宋体"/>
          <w:b/>
          <w:szCs w:val="21"/>
        </w:rPr>
        <w:t>00</w:t>
      </w:r>
      <w:r>
        <w:rPr>
          <w:rFonts w:ascii="宋体" w:hAnsi="宋体"/>
          <w:b/>
          <w:szCs w:val="21"/>
        </w:rPr>
        <w:t>:</w:t>
      </w:r>
      <w:r>
        <w:rPr>
          <w:rFonts w:hint="eastAsia" w:ascii="宋体" w:hAnsi="宋体"/>
          <w:b/>
          <w:szCs w:val="21"/>
        </w:rPr>
        <w:t>0</w:t>
      </w:r>
      <w:r>
        <w:rPr>
          <w:rFonts w:ascii="宋体" w:hAnsi="宋体"/>
          <w:b/>
          <w:szCs w:val="21"/>
        </w:rPr>
        <w:t>0时</w:t>
      </w:r>
      <w:r>
        <w:rPr>
          <w:rFonts w:ascii="宋体" w:hAnsi="宋体"/>
          <w:szCs w:val="21"/>
        </w:rPr>
        <w:t>前凡对</w:t>
      </w:r>
      <w:r>
        <w:rPr>
          <w:rFonts w:hint="eastAsia" w:ascii="Times New Roman" w:hAnsi="Times New Roman"/>
          <w:szCs w:val="21"/>
        </w:rPr>
        <w:t>采购文件存在不明确、不清晰和前后不一致等问题，要求对采购文件作出澄清的</w:t>
      </w:r>
      <w:r>
        <w:rPr>
          <w:rFonts w:ascii="宋体" w:hAnsi="宋体"/>
          <w:szCs w:val="21"/>
        </w:rPr>
        <w:t>，登录“</w:t>
      </w:r>
      <w:r>
        <w:rPr>
          <w:rFonts w:hint="eastAsia" w:asciiTheme="minorEastAsia" w:hAnsiTheme="minorEastAsia" w:eastAsiaTheme="minorEastAsia"/>
          <w:szCs w:val="21"/>
        </w:rPr>
        <w:t>深圳交易集团有限公司政府采购业务分公司网站</w:t>
      </w:r>
      <w:r>
        <w:rPr>
          <w:rFonts w:ascii="宋体" w:hAnsi="宋体"/>
          <w:szCs w:val="21"/>
        </w:rPr>
        <w:t>”，在“</w:t>
      </w:r>
      <w:r>
        <w:t>应标管理→提出采购文件澄清要求</w:t>
      </w:r>
      <w:r>
        <w:rPr>
          <w:rFonts w:ascii="宋体" w:hAnsi="宋体"/>
          <w:szCs w:val="21"/>
        </w:rPr>
        <w:t>”中填写</w:t>
      </w:r>
      <w:r>
        <w:rPr>
          <w:rFonts w:hint="eastAsia" w:ascii="宋体" w:hAnsi="宋体"/>
          <w:szCs w:val="21"/>
        </w:rPr>
        <w:t>需要澄清的内容</w:t>
      </w:r>
      <w:r>
        <w:rPr>
          <w:rFonts w:ascii="宋体" w:hAnsi="宋体"/>
          <w:szCs w:val="21"/>
        </w:rPr>
        <w:t>，逾期不予受理。</w:t>
      </w:r>
      <w:r>
        <w:rPr>
          <w:rFonts w:ascii="宋体" w:hAnsi="宋体"/>
          <w:b/>
          <w:szCs w:val="21"/>
        </w:rPr>
        <w:t>2021年</w:t>
      </w:r>
      <w:r>
        <w:rPr>
          <w:rFonts w:hint="eastAsia" w:ascii="宋体" w:hAnsi="宋体"/>
          <w:b/>
          <w:szCs w:val="21"/>
        </w:rPr>
        <w:t>6</w:t>
      </w:r>
      <w:r>
        <w:rPr>
          <w:rFonts w:ascii="宋体" w:hAnsi="宋体"/>
          <w:b/>
          <w:szCs w:val="21"/>
        </w:rPr>
        <w:t>月</w:t>
      </w:r>
      <w:r>
        <w:rPr>
          <w:rFonts w:hint="eastAsia" w:ascii="宋体" w:hAnsi="宋体"/>
          <w:b/>
          <w:szCs w:val="21"/>
        </w:rPr>
        <w:t>3</w:t>
      </w:r>
      <w:r>
        <w:rPr>
          <w:rFonts w:ascii="宋体" w:hAnsi="宋体"/>
          <w:b/>
          <w:szCs w:val="21"/>
        </w:rPr>
        <w:t>日</w:t>
      </w:r>
      <w:r>
        <w:rPr>
          <w:rFonts w:hint="eastAsia" w:ascii="宋体" w:hAnsi="宋体"/>
          <w:b/>
          <w:szCs w:val="21"/>
        </w:rPr>
        <w:t>18:00时</w:t>
      </w:r>
      <w:r>
        <w:rPr>
          <w:rFonts w:hint="eastAsia" w:ascii="宋体" w:hAnsi="宋体"/>
          <w:szCs w:val="21"/>
        </w:rPr>
        <w:t>前</w:t>
      </w:r>
      <w:r>
        <w:rPr>
          <w:rFonts w:ascii="宋体" w:hAnsi="宋体"/>
          <w:szCs w:val="21"/>
        </w:rPr>
        <w:t>将答疑结果在“应标管理→采购文件澄清/修改查询”中公布，望投标人予以关注</w:t>
      </w:r>
      <w:r>
        <w:rPr>
          <w:rFonts w:hint="eastAsia" w:ascii="宋体" w:hAnsi="宋体" w:cs="宋体"/>
          <w:kern w:val="0"/>
          <w:szCs w:val="21"/>
        </w:rPr>
        <w:t>。</w:t>
      </w:r>
      <w:r>
        <w:rPr>
          <w:rFonts w:hint="eastAsia" w:ascii="Times New Roman" w:hAnsi="Times New Roman"/>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中心递交书面质疑函。根据《深圳经济特区政府采购条例》第四十二条“供应商投诉的事项应当是经过质疑的事项”的规定，未经正式质疑的，将影响供应商行使向财政部门提起投诉的权利）。</w:t>
      </w:r>
    </w:p>
    <w:p>
      <w:pPr>
        <w:widowControl/>
        <w:spacing w:afterLines="0" w:line="360" w:lineRule="auto"/>
        <w:ind w:firstLine="420" w:firstLineChars="200"/>
        <w:jc w:val="left"/>
        <w:rPr>
          <w:rFonts w:ascii="宋体" w:hAnsi="宋体"/>
          <w:szCs w:val="21"/>
        </w:rPr>
      </w:pPr>
      <w:r>
        <w:rPr>
          <w:rFonts w:hint="eastAsia" w:ascii="宋体" w:hAnsi="宋体"/>
          <w:szCs w:val="21"/>
        </w:rPr>
        <w:t>3、</w:t>
      </w:r>
      <w:r>
        <w:rPr>
          <w:rFonts w:hint="eastAsia" w:ascii="Times New Roman" w:hAnsi="Times New Roman"/>
          <w:szCs w:val="21"/>
        </w:rPr>
        <w:t>招标机构</w:t>
      </w:r>
      <w:r>
        <w:rPr>
          <w:rFonts w:ascii="Times New Roman" w:hAnsi="Times New Roman"/>
          <w:szCs w:val="21"/>
        </w:rPr>
        <w:t>有权对中标供应商就本项目要求提供的相关证明资料（原件）进行审查。供应商提供虚假资料被查实的，则可能面临被取消本项目中标资格、列入不良行为记录名单和三年内禁止参与深圳市政府采购活动的风险</w:t>
      </w:r>
      <w:r>
        <w:rPr>
          <w:rFonts w:hint="eastAsia" w:ascii="宋体" w:hAnsi="宋体"/>
          <w:szCs w:val="21"/>
        </w:rPr>
        <w:t>。</w:t>
      </w:r>
    </w:p>
    <w:p>
      <w:pPr>
        <w:widowControl/>
        <w:spacing w:afterLines="0" w:line="360" w:lineRule="auto"/>
        <w:ind w:firstLine="420" w:firstLineChars="200"/>
        <w:jc w:val="left"/>
        <w:rPr>
          <w:rFonts w:ascii="宋体" w:hAnsi="宋体"/>
          <w:szCs w:val="21"/>
        </w:rPr>
      </w:pPr>
      <w:r>
        <w:rPr>
          <w:rFonts w:hint="eastAsia" w:ascii="宋体" w:hAnsi="宋体"/>
          <w:szCs w:val="21"/>
        </w:rPr>
        <w:t>4、</w:t>
      </w:r>
      <w:r>
        <w:rPr>
          <w:rFonts w:ascii="宋体" w:hAnsi="宋体"/>
          <w:szCs w:val="21"/>
        </w:rPr>
        <w:t>本招标公告及本项目招标文件所涉及的时间一律为北京时间。投标人有义务在招标活动期间浏览</w:t>
      </w:r>
      <w:r>
        <w:t>深圳交易集团有限公司政府采购业务分公司网站</w:t>
      </w:r>
      <w:r>
        <w:rPr>
          <w:rFonts w:ascii="宋体" w:hAnsi="宋体"/>
          <w:szCs w:val="21"/>
        </w:rPr>
        <w:t>（www.szzfcg.cn），在</w:t>
      </w:r>
      <w:r>
        <w:t>深圳交易集团有限公司政府采购业务分公司网站</w:t>
      </w:r>
      <w:r>
        <w:rPr>
          <w:rFonts w:ascii="宋体" w:hAnsi="宋体"/>
          <w:szCs w:val="21"/>
        </w:rPr>
        <w:t>上公布的与本次招标项目有关的信息视为已送达各投标人</w:t>
      </w:r>
      <w:r>
        <w:rPr>
          <w:rFonts w:hint="eastAsia" w:ascii="宋体" w:hAnsi="宋体"/>
          <w:szCs w:val="21"/>
        </w:rPr>
        <w:t>。</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5、本项目不需要缴纳投标保证金。</w:t>
      </w:r>
    </w:p>
    <w:p>
      <w:pPr>
        <w:widowControl/>
        <w:spacing w:afterLines="0" w:line="360" w:lineRule="auto"/>
        <w:ind w:firstLine="421" w:firstLineChars="200"/>
        <w:jc w:val="left"/>
        <w:rPr>
          <w:rFonts w:cs="仿宋" w:asciiTheme="minorEastAsia" w:hAnsiTheme="minorEastAsia" w:eastAsiaTheme="minorEastAsia"/>
          <w:b/>
          <w:szCs w:val="21"/>
        </w:rPr>
      </w:pPr>
      <w:r>
        <w:rPr>
          <w:rFonts w:hint="eastAsia" w:cs="仿宋" w:asciiTheme="minorEastAsia" w:hAnsiTheme="minorEastAsia" w:eastAsiaTheme="minorEastAsia"/>
          <w:b/>
          <w:szCs w:val="21"/>
        </w:rPr>
        <w:t>八、对本次招标提出询问，请按以下方式联系。</w:t>
      </w:r>
    </w:p>
    <w:p>
      <w:pPr>
        <w:widowControl/>
        <w:spacing w:afterLines="0" w:line="360" w:lineRule="auto"/>
        <w:ind w:firstLine="421" w:firstLineChars="200"/>
        <w:jc w:val="left"/>
        <w:rPr>
          <w:rFonts w:cs="仿宋" w:asciiTheme="minorEastAsia" w:hAnsiTheme="minorEastAsia" w:eastAsiaTheme="minorEastAsia"/>
          <w:b/>
          <w:szCs w:val="21"/>
        </w:rPr>
      </w:pPr>
      <w:r>
        <w:rPr>
          <w:rFonts w:cs="仿宋" w:asciiTheme="minorEastAsia" w:hAnsiTheme="minorEastAsia" w:eastAsiaTheme="minorEastAsia"/>
          <w:b/>
          <w:szCs w:val="21"/>
        </w:rPr>
        <w:t>1</w:t>
      </w:r>
      <w:r>
        <w:rPr>
          <w:rFonts w:hint="eastAsia" w:cs="仿宋" w:asciiTheme="minorEastAsia" w:hAnsiTheme="minorEastAsia" w:eastAsiaTheme="minorEastAsia"/>
          <w:b/>
          <w:szCs w:val="21"/>
        </w:rPr>
        <w:t>、采购人信息</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名　称：</w:t>
      </w:r>
      <w:r>
        <w:rPr>
          <w:rFonts w:hint="eastAsia" w:ascii="宋体" w:hAnsi="宋体"/>
        </w:rPr>
        <w:t>深圳市人力资源和社会保障局</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ascii="宋体" w:hAnsi="宋体"/>
          <w:bCs/>
          <w:szCs w:val="21"/>
        </w:rPr>
        <w:t>深圳市福田区深南大道8005号</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联系方式：</w:t>
      </w:r>
      <w:r>
        <w:rPr>
          <w:rFonts w:hint="eastAsia" w:ascii="宋体" w:hAnsi="宋体"/>
          <w:bCs/>
          <w:szCs w:val="21"/>
        </w:rPr>
        <w:t>0755-</w:t>
      </w:r>
      <w:r>
        <w:rPr>
          <w:rFonts w:ascii="宋体" w:hAnsi="宋体"/>
          <w:bCs/>
          <w:szCs w:val="21"/>
        </w:rPr>
        <w:t>88123077</w:t>
      </w:r>
      <w:r>
        <w:rPr>
          <w:rFonts w:hint="eastAsia" w:ascii="宋体" w:hAnsi="宋体"/>
          <w:bCs/>
          <w:szCs w:val="21"/>
        </w:rPr>
        <w:t>　</w:t>
      </w:r>
      <w:r>
        <w:rPr>
          <w:rFonts w:hint="eastAsia" w:cs="仿宋" w:asciiTheme="minorEastAsia" w:hAnsiTheme="minorEastAsia" w:eastAsiaTheme="minorEastAsia"/>
          <w:szCs w:val="21"/>
        </w:rPr>
        <w:t>　　　　　　　　</w:t>
      </w:r>
    </w:p>
    <w:p>
      <w:pPr>
        <w:widowControl/>
        <w:spacing w:afterLines="0" w:line="360" w:lineRule="auto"/>
        <w:ind w:firstLine="421" w:firstLineChars="200"/>
        <w:jc w:val="left"/>
        <w:rPr>
          <w:rFonts w:cs="仿宋" w:asciiTheme="minorEastAsia" w:hAnsiTheme="minorEastAsia" w:eastAsiaTheme="minorEastAsia"/>
          <w:b/>
          <w:szCs w:val="21"/>
        </w:rPr>
      </w:pPr>
      <w:r>
        <w:rPr>
          <w:rFonts w:cs="仿宋" w:asciiTheme="minorEastAsia" w:hAnsiTheme="minorEastAsia" w:eastAsiaTheme="minorEastAsia"/>
          <w:b/>
          <w:szCs w:val="21"/>
        </w:rPr>
        <w:t>2</w:t>
      </w:r>
      <w:r>
        <w:rPr>
          <w:rFonts w:hint="eastAsia" w:cs="仿宋" w:asciiTheme="minorEastAsia" w:hAnsiTheme="minorEastAsia" w:eastAsiaTheme="minorEastAsia"/>
          <w:b/>
          <w:szCs w:val="21"/>
        </w:rPr>
        <w:t>、采购代理机构信息</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名　称：</w:t>
      </w:r>
      <w:r>
        <w:rPr>
          <w:rFonts w:hint="eastAsia" w:ascii="宋体" w:hAnsi="宋体"/>
          <w:szCs w:val="21"/>
        </w:rPr>
        <w:t>深圳高星项目管理有限公司</w:t>
      </w:r>
      <w:r>
        <w:rPr>
          <w:rFonts w:hint="eastAsia" w:cs="仿宋" w:asciiTheme="minorEastAsia" w:hAnsiTheme="minorEastAsia" w:eastAsiaTheme="minorEastAsia"/>
          <w:szCs w:val="21"/>
        </w:rPr>
        <w:t>　　　　　　　　　　　　</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地　址：</w:t>
      </w:r>
      <w:r>
        <w:rPr>
          <w:rFonts w:hint="eastAsia" w:ascii="宋体" w:hAnsi="宋体"/>
          <w:szCs w:val="21"/>
        </w:rPr>
        <w:t>深圳市福田区泰然九路天地源盛唐大厦东座1403</w:t>
      </w:r>
      <w:r>
        <w:rPr>
          <w:rFonts w:hint="eastAsia" w:cs="仿宋" w:asciiTheme="minorEastAsia" w:hAnsiTheme="minorEastAsia" w:eastAsiaTheme="minorEastAsia"/>
          <w:szCs w:val="21"/>
        </w:rPr>
        <w:t>　　　　　　　　　　</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联系方式：</w:t>
      </w:r>
      <w:r>
        <w:rPr>
          <w:rFonts w:ascii="宋体" w:hAnsi="宋体"/>
          <w:szCs w:val="21"/>
        </w:rPr>
        <w:t>0755-88918228</w:t>
      </w:r>
      <w:r>
        <w:rPr>
          <w:rFonts w:hint="eastAsia" w:ascii="宋体" w:hAnsi="宋体"/>
          <w:szCs w:val="21"/>
        </w:rPr>
        <w:t xml:space="preserve"> </w:t>
      </w:r>
      <w:r>
        <w:rPr>
          <w:rFonts w:hint="eastAsia" w:cs="仿宋" w:asciiTheme="minorEastAsia" w:hAnsiTheme="minorEastAsia" w:eastAsiaTheme="minorEastAsia"/>
          <w:szCs w:val="21"/>
        </w:rPr>
        <w:t>　　　　　　　　　　　　</w:t>
      </w:r>
    </w:p>
    <w:p>
      <w:pPr>
        <w:widowControl/>
        <w:spacing w:afterLines="0" w:line="360" w:lineRule="auto"/>
        <w:ind w:firstLine="421" w:firstLineChars="200"/>
        <w:jc w:val="left"/>
        <w:rPr>
          <w:rFonts w:cs="仿宋" w:asciiTheme="minorEastAsia" w:hAnsiTheme="minorEastAsia" w:eastAsiaTheme="minorEastAsia"/>
          <w:b/>
          <w:szCs w:val="21"/>
        </w:rPr>
      </w:pPr>
      <w:r>
        <w:rPr>
          <w:rFonts w:cs="仿宋" w:asciiTheme="minorEastAsia" w:hAnsiTheme="minorEastAsia" w:eastAsiaTheme="minorEastAsia"/>
          <w:b/>
          <w:szCs w:val="21"/>
        </w:rPr>
        <w:t>3</w:t>
      </w:r>
      <w:r>
        <w:rPr>
          <w:rFonts w:hint="eastAsia" w:cs="仿宋" w:asciiTheme="minorEastAsia" w:hAnsiTheme="minorEastAsia" w:eastAsiaTheme="minorEastAsia"/>
          <w:b/>
          <w:szCs w:val="21"/>
        </w:rPr>
        <w:t>、项目联系方式</w:t>
      </w:r>
    </w:p>
    <w:p>
      <w:pPr>
        <w:widowControl/>
        <w:spacing w:afterLines="0"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项目联系人：黄工</w:t>
      </w:r>
    </w:p>
    <w:p>
      <w:pPr>
        <w:widowControl/>
        <w:spacing w:afterLines="0" w:line="360" w:lineRule="auto"/>
        <w:ind w:firstLine="420" w:firstLineChars="200"/>
        <w:jc w:val="left"/>
        <w:rPr>
          <w:rFonts w:cs="宋体" w:asciiTheme="minorEastAsia" w:hAnsiTheme="minorEastAsia" w:eastAsiaTheme="minorEastAsia"/>
          <w:kern w:val="0"/>
          <w:szCs w:val="21"/>
        </w:rPr>
      </w:pPr>
      <w:r>
        <w:rPr>
          <w:rFonts w:hint="eastAsia" w:cs="仿宋" w:asciiTheme="minorEastAsia" w:hAnsiTheme="minorEastAsia" w:eastAsiaTheme="minorEastAsia"/>
          <w:szCs w:val="21"/>
        </w:rPr>
        <w:t>电　话：0755-88918228</w:t>
      </w:r>
    </w:p>
    <w:p>
      <w:pPr>
        <w:widowControl/>
        <w:spacing w:afterLines="0" w:line="360" w:lineRule="auto"/>
        <w:ind w:firstLine="421" w:firstLineChars="200"/>
        <w:jc w:val="left"/>
        <w:rPr>
          <w:rFonts w:cs="宋体" w:asciiTheme="minorEastAsia" w:hAnsiTheme="minorEastAsia" w:eastAsiaTheme="minorEastAsia"/>
          <w:b/>
          <w:kern w:val="0"/>
          <w:szCs w:val="21"/>
        </w:rPr>
      </w:pPr>
    </w:p>
    <w:p>
      <w:pPr>
        <w:widowControl/>
        <w:spacing w:afterLines="0" w:line="360" w:lineRule="auto"/>
        <w:ind w:firstLine="420" w:firstLineChars="200"/>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深圳高星项目管理有限公司</w:t>
      </w:r>
    </w:p>
    <w:p>
      <w:pPr>
        <w:spacing w:after="60"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2021年5月26日</w:t>
      </w:r>
    </w:p>
    <w:p>
      <w:pPr>
        <w:pStyle w:val="3"/>
        <w:spacing w:after="60"/>
        <w:jc w:val="both"/>
        <w:rPr>
          <w:rStyle w:val="54"/>
          <w:rFonts w:hint="eastAsia" w:eastAsia="黑体"/>
          <w:b/>
          <w:bCs/>
          <w:kern w:val="0"/>
          <w:sz w:val="32"/>
        </w:rPr>
      </w:pPr>
    </w:p>
    <w:p>
      <w:pPr>
        <w:pStyle w:val="3"/>
        <w:spacing w:after="60"/>
        <w:jc w:val="center"/>
        <w:rPr>
          <w:rStyle w:val="54"/>
          <w:rFonts w:eastAsia="黑体"/>
          <w:b/>
          <w:bCs/>
          <w:kern w:val="0"/>
          <w:sz w:val="32"/>
        </w:rPr>
      </w:pPr>
      <w:r>
        <w:rPr>
          <w:rStyle w:val="54"/>
          <w:rFonts w:hint="eastAsia" w:eastAsia="黑体"/>
          <w:b/>
          <w:bCs/>
          <w:kern w:val="0"/>
          <w:sz w:val="32"/>
        </w:rPr>
        <w:t>第二章  投标</w:t>
      </w:r>
      <w:r>
        <w:rPr>
          <w:rFonts w:hint="eastAsia"/>
        </w:rPr>
        <w:t>资料表</w:t>
      </w:r>
    </w:p>
    <w:p>
      <w:pPr>
        <w:tabs>
          <w:tab w:val="left" w:pos="4680"/>
        </w:tabs>
        <w:spacing w:before="50" w:afterLines="0" w:line="240" w:lineRule="auto"/>
        <w:ind w:firstLine="420" w:firstLineChars="200"/>
        <w:rPr>
          <w:rFonts w:cs="Arial"/>
        </w:rPr>
      </w:pPr>
      <w:r>
        <w:rPr>
          <w:rFonts w:hint="eastAsia" w:cs="Arial"/>
        </w:rPr>
        <w:t>本表关于要采购的服务的具体资料是对投标人须知的具体补充和修改。</w:t>
      </w:r>
    </w:p>
    <w:tbl>
      <w:tblPr>
        <w:tblStyle w:val="4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8039" w:type="dxa"/>
          </w:tcPr>
          <w:p>
            <w:pPr>
              <w:snapToGrid w:val="0"/>
              <w:spacing w:afterLines="0" w:line="240" w:lineRule="auto"/>
              <w:ind w:firstLine="3101" w:firstLineChars="1477"/>
              <w:rPr>
                <w:rFonts w:cs="Arial" w:asciiTheme="minorEastAsia" w:hAnsiTheme="minorEastAsia" w:eastAsiaTheme="minorEastAsia"/>
                <w:szCs w:val="21"/>
              </w:rPr>
            </w:pPr>
            <w:r>
              <w:rPr>
                <w:rFonts w:hint="eastAsia" w:cs="Arial" w:asciiTheme="minorEastAsia" w:hAnsiTheme="minorEastAsia" w:eastAsiaTheme="minorEastAsia"/>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4" w:type="dxa"/>
            <w:gridSpan w:val="2"/>
          </w:tcPr>
          <w:p>
            <w:pPr>
              <w:snapToGrid w:val="0"/>
              <w:spacing w:afterLines="0" w:line="240" w:lineRule="auto"/>
              <w:ind w:firstLine="4214" w:firstLineChars="2007"/>
              <w:rPr>
                <w:rFonts w:cs="Arial" w:asciiTheme="minorEastAsia" w:hAnsiTheme="minorEastAsia" w:eastAsiaTheme="minorEastAsia"/>
                <w:szCs w:val="21"/>
              </w:rPr>
            </w:pPr>
            <w:r>
              <w:rPr>
                <w:rFonts w:hint="eastAsia" w:cs="Arial" w:asciiTheme="minorEastAsia" w:hAnsiTheme="minorEastAsia" w:eastAsiaTheme="minor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 w:hRule="atLeas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招标人：</w:t>
            </w:r>
            <w:r>
              <w:rPr>
                <w:rFonts w:hint="eastAsia" w:ascii="宋体" w:hAnsi="宋体"/>
              </w:rPr>
              <w:t>深圳市人力资源和社会保障局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3</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除招标文件中有特殊要求外，采购项目不接受联合体投标。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9004" w:type="dxa"/>
            <w:gridSpan w:val="2"/>
          </w:tcPr>
          <w:p>
            <w:pPr>
              <w:adjustRightInd w:val="0"/>
              <w:snapToGrid w:val="0"/>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对招标文件澄清答复时间：投标截止前。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对招标文件质疑的答复时间：投标截止前。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6</w:t>
            </w:r>
          </w:p>
        </w:tc>
        <w:tc>
          <w:tcPr>
            <w:tcW w:w="8039" w:type="dxa"/>
            <w:vAlign w:val="center"/>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投标报价以人民币报价，</w:t>
            </w:r>
            <w:r>
              <w:rPr>
                <w:rFonts w:hint="eastAsia" w:ascii="宋体" w:hAnsi="宋体"/>
              </w:rPr>
              <w:t>本项目服务费采用包干制，应包括服务成本、法定税费和企业的利润。由企业根据招标文件所提供的资料自行测算投标报价；一经中标，投标报价总价作为中标单位与采购人签定的合同金额，合同期限内不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4" w:type="dxa"/>
            <w:gridSpan w:val="2"/>
          </w:tcPr>
          <w:p>
            <w:pPr>
              <w:snapToGrid w:val="0"/>
              <w:spacing w:afterLines="0" w:line="240" w:lineRule="auto"/>
              <w:ind w:firstLine="3465" w:firstLineChars="1650"/>
              <w:rPr>
                <w:rFonts w:ascii="宋体" w:hAnsi="宋体"/>
              </w:rPr>
            </w:pPr>
            <w:r>
              <w:rPr>
                <w:rFonts w:hint="eastAsia" w:ascii="宋体" w:hAnsi="宋体"/>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7</w:t>
            </w:r>
          </w:p>
        </w:tc>
        <w:tc>
          <w:tcPr>
            <w:tcW w:w="8039" w:type="dxa"/>
          </w:tcPr>
          <w:p>
            <w:pPr>
              <w:snapToGrid w:val="0"/>
              <w:spacing w:afterLines="0" w:line="240" w:lineRule="auto"/>
              <w:rPr>
                <w:rFonts w:ascii="宋体" w:hAnsi="宋体"/>
              </w:rPr>
            </w:pPr>
            <w:r>
              <w:rPr>
                <w:rFonts w:hint="eastAsia" w:ascii="宋体" w:hAnsi="宋体"/>
              </w:rPr>
              <w:t>投标有效期：从投标截止之日起</w:t>
            </w:r>
            <w:r>
              <w:rPr>
                <w:rFonts w:hint="eastAsia" w:ascii="宋体" w:hAnsi="宋体"/>
                <w:u w:val="single"/>
              </w:rPr>
              <w:t>120</w:t>
            </w:r>
            <w:r>
              <w:rPr>
                <w:rFonts w:hint="eastAsia" w:ascii="宋体" w:hAnsi="宋体"/>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9004" w:type="dxa"/>
            <w:gridSpan w:val="2"/>
          </w:tcPr>
          <w:p>
            <w:pPr>
              <w:snapToGrid w:val="0"/>
              <w:spacing w:afterLines="0" w:line="240" w:lineRule="auto"/>
              <w:ind w:firstLine="3645" w:firstLineChars="1736"/>
              <w:rPr>
                <w:rFonts w:ascii="宋体" w:hAnsi="宋体"/>
              </w:rPr>
            </w:pPr>
            <w:r>
              <w:rPr>
                <w:rFonts w:hint="eastAsia" w:ascii="宋体" w:hAnsi="宋体"/>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8</w:t>
            </w:r>
          </w:p>
        </w:tc>
        <w:tc>
          <w:tcPr>
            <w:tcW w:w="8039" w:type="dxa"/>
          </w:tcPr>
          <w:p>
            <w:pPr>
              <w:adjustRightInd w:val="0"/>
              <w:snapToGrid w:val="0"/>
              <w:spacing w:after="60" w:line="360" w:lineRule="auto"/>
              <w:rPr>
                <w:rFonts w:ascii="宋体" w:hAnsi="宋体"/>
                <w:bCs/>
                <w:szCs w:val="21"/>
              </w:rPr>
            </w:pPr>
            <w:r>
              <w:rPr>
                <w:rFonts w:hint="eastAsia" w:ascii="宋体" w:hAnsi="宋体"/>
                <w:bCs/>
                <w:szCs w:val="21"/>
              </w:rPr>
              <w:t xml:space="preserve">招标编号： </w:t>
            </w:r>
            <w:r>
              <w:rPr>
                <w:rFonts w:ascii="宋体" w:hAnsi="宋体"/>
                <w:bCs/>
                <w:szCs w:val="21"/>
              </w:rPr>
              <w:t>SZDL2021337876</w:t>
            </w:r>
          </w:p>
          <w:p>
            <w:pPr>
              <w:adjustRightInd w:val="0"/>
              <w:snapToGrid w:val="0"/>
              <w:spacing w:after="60" w:line="360" w:lineRule="auto"/>
              <w:rPr>
                <w:rFonts w:ascii="宋体" w:hAnsi="宋体"/>
              </w:rPr>
            </w:pPr>
            <w:r>
              <w:rPr>
                <w:rFonts w:hint="eastAsia" w:ascii="宋体" w:hAnsi="宋体"/>
              </w:rPr>
              <w:t>招标项目名称：</w:t>
            </w:r>
            <w:r>
              <w:rPr>
                <w:rFonts w:hint="eastAsia" w:ascii="宋体" w:hAnsi="宋体"/>
                <w:bCs/>
                <w:szCs w:val="21"/>
              </w:rPr>
              <w:t>深圳市2021年企业薪酬调查及工资指导价位制订项目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9</w:t>
            </w:r>
          </w:p>
        </w:tc>
        <w:tc>
          <w:tcPr>
            <w:tcW w:w="8039" w:type="dxa"/>
          </w:tcPr>
          <w:p>
            <w:pPr>
              <w:adjustRightInd w:val="0"/>
              <w:snapToGrid w:val="0"/>
              <w:spacing w:after="60" w:line="360" w:lineRule="auto"/>
              <w:rPr>
                <w:rFonts w:asciiTheme="minorEastAsia" w:hAnsiTheme="minorEastAsia" w:eastAsiaTheme="minorEastAsia"/>
                <w:b/>
                <w:szCs w:val="21"/>
              </w:rPr>
            </w:pPr>
            <w:r>
              <w:rPr>
                <w:rFonts w:hint="eastAsia" w:asciiTheme="minorEastAsia" w:hAnsiTheme="minorEastAsia" w:eastAsiaTheme="minorEastAsia"/>
                <w:b/>
                <w:szCs w:val="21"/>
              </w:rPr>
              <w:t>投标文件正文将对外公开，投标文件附件不公开。投标人在编辑投标文件时，在投标文件目录中属于本节点内容的必须在本节点中填写，填写到其他节点或附件的将可能导致投标无效，一切后果由投标人自行承担。我公司公布投标文件正文（信息公开部分）时为计算机截取信息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10</w:t>
            </w:r>
          </w:p>
        </w:tc>
        <w:tc>
          <w:tcPr>
            <w:tcW w:w="8039"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投标截止时间：</w:t>
            </w:r>
            <w:r>
              <w:rPr>
                <w:rFonts w:hint="eastAsia" w:asciiTheme="minorEastAsia" w:hAnsiTheme="minorEastAsia" w:eastAsiaTheme="minorEastAsia"/>
                <w:b/>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11</w:t>
            </w:r>
          </w:p>
        </w:tc>
        <w:tc>
          <w:tcPr>
            <w:tcW w:w="8039" w:type="dxa"/>
          </w:tcPr>
          <w:p>
            <w:pPr>
              <w:spacing w:afterLines="0" w:line="300" w:lineRule="exact"/>
              <w:rPr>
                <w:rFonts w:asciiTheme="minorEastAsia" w:hAnsiTheme="minorEastAsia" w:eastAsiaTheme="minorEastAsia"/>
                <w:szCs w:val="21"/>
              </w:rPr>
            </w:pPr>
            <w:r>
              <w:rPr>
                <w:rFonts w:hint="eastAsia" w:cs="Arial" w:asciiTheme="minorEastAsia" w:hAnsiTheme="minorEastAsia" w:eastAsiaTheme="minorEastAsia"/>
                <w:szCs w:val="21"/>
              </w:rPr>
              <w:t>评标委员会共有</w:t>
            </w:r>
            <w:r>
              <w:rPr>
                <w:rFonts w:cs="Arial" w:asciiTheme="minorEastAsia" w:hAnsiTheme="minorEastAsia" w:eastAsiaTheme="minorEastAsia"/>
                <w:szCs w:val="21"/>
              </w:rPr>
              <w:t xml:space="preserve">5 </w:t>
            </w:r>
            <w:r>
              <w:rPr>
                <w:rFonts w:hint="eastAsia" w:cs="Arial" w:asciiTheme="minorEastAsia" w:hAnsiTheme="minorEastAsia" w:eastAsiaTheme="minorEastAsia"/>
                <w:szCs w:val="21"/>
              </w:rPr>
              <w:t>人或以上单数，其中技术、经济等方面的专家不少于成员总数的三分之二。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9004" w:type="dxa"/>
            <w:gridSpan w:val="2"/>
          </w:tcPr>
          <w:p>
            <w:pPr>
              <w:snapToGrid w:val="0"/>
              <w:spacing w:afterLines="0" w:line="240" w:lineRule="auto"/>
              <w:ind w:firstLine="3599" w:firstLineChars="1714"/>
              <w:rPr>
                <w:rFonts w:cs="Arial" w:asciiTheme="minorEastAsia" w:hAnsiTheme="minorEastAsia" w:eastAsiaTheme="minorEastAsia"/>
                <w:szCs w:val="21"/>
              </w:rPr>
            </w:pPr>
            <w:r>
              <w:rPr>
                <w:rFonts w:hint="eastAsia" w:cs="Arial" w:asciiTheme="minorEastAsia" w:hAnsiTheme="minorEastAsia" w:eastAsiaTheme="minorEastAsia"/>
                <w:szCs w:val="21"/>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12</w:t>
            </w:r>
          </w:p>
        </w:tc>
        <w:tc>
          <w:tcPr>
            <w:tcW w:w="8039" w:type="dxa"/>
          </w:tcPr>
          <w:p>
            <w:pPr>
              <w:snapToGrid w:val="0"/>
              <w:spacing w:afterLines="0" w:line="240" w:lineRule="auto"/>
              <w:rPr>
                <w:rFonts w:asciiTheme="minorEastAsia" w:hAnsiTheme="minorEastAsia" w:eastAsiaTheme="minorEastAsia"/>
                <w:szCs w:val="21"/>
              </w:rPr>
            </w:pPr>
            <w:r>
              <w:rPr>
                <w:rFonts w:hint="eastAsia" w:cs="Arial" w:asciiTheme="minorEastAsia" w:hAnsiTheme="minorEastAsia" w:eastAsiaTheme="minorEastAsia"/>
                <w:szCs w:val="21"/>
              </w:rPr>
              <w:t>开标时间：</w:t>
            </w:r>
            <w:r>
              <w:rPr>
                <w:rFonts w:hint="eastAsia" w:asciiTheme="minorEastAsia" w:hAnsiTheme="minorEastAsia" w:eastAsiaTheme="minorEastAsia"/>
                <w:b/>
                <w:szCs w:val="21"/>
              </w:rPr>
              <w:t>详见招标公告</w:t>
            </w:r>
          </w:p>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开标地点：</w:t>
            </w:r>
            <w:r>
              <w:rPr>
                <w:rFonts w:hint="eastAsia" w:asciiTheme="minorEastAsia" w:hAnsiTheme="minorEastAsia" w:eastAsiaTheme="minorEastAsia"/>
                <w:szCs w:val="21"/>
              </w:rPr>
              <w:t>深圳市福田区泰然九路天地源盛唐大厦东座1403</w:t>
            </w:r>
            <w:r>
              <w:rPr>
                <w:rFonts w:hint="eastAsia" w:cs="Arial"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13</w:t>
            </w:r>
          </w:p>
        </w:tc>
        <w:tc>
          <w:tcPr>
            <w:tcW w:w="8039" w:type="dxa"/>
          </w:tcPr>
          <w:p>
            <w:pPr>
              <w:spacing w:after="60" w:line="360" w:lineRule="auto"/>
              <w:jc w:val="left"/>
              <w:rPr>
                <w:rFonts w:asciiTheme="minorEastAsia" w:hAnsiTheme="minorEastAsia" w:eastAsiaTheme="minorEastAsia"/>
                <w:b/>
                <w:bCs/>
                <w:color w:val="FF0000"/>
                <w:szCs w:val="21"/>
              </w:rPr>
            </w:pPr>
            <w:r>
              <w:rPr>
                <w:rFonts w:hint="eastAsia" w:ascii="宋体" w:hAnsi="宋体"/>
                <w:b/>
                <w:bCs/>
                <w:color w:val="FF0000"/>
                <w:szCs w:val="21"/>
              </w:rPr>
              <w:t>投标人的投标总价超出本项目最高限价金额将被当作无效投标处理。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5" w:type="dxa"/>
            <w:vAlign w:val="center"/>
          </w:tcPr>
          <w:p>
            <w:pPr>
              <w:pStyle w:val="175"/>
              <w:snapToGrid w:val="0"/>
              <w:spacing w:afterLines="25" w:line="240" w:lineRule="auto"/>
              <w:rPr>
                <w:rFonts w:asciiTheme="minorEastAsia" w:hAnsiTheme="minorEastAsia" w:eastAsiaTheme="minorEastAsia"/>
                <w:bCs w:val="0"/>
                <w:szCs w:val="21"/>
              </w:rPr>
            </w:pPr>
            <w:r>
              <w:rPr>
                <w:rFonts w:hint="eastAsia" w:asciiTheme="minorEastAsia" w:hAnsiTheme="minorEastAsia" w:eastAsiaTheme="minorEastAsia"/>
                <w:bCs w:val="0"/>
                <w:szCs w:val="21"/>
              </w:rPr>
              <w:t>14</w:t>
            </w:r>
          </w:p>
        </w:tc>
        <w:tc>
          <w:tcPr>
            <w:tcW w:w="8039" w:type="dxa"/>
            <w:vAlign w:val="center"/>
          </w:tcPr>
          <w:p>
            <w:pPr>
              <w:adjustRightInd w:val="0"/>
              <w:snapToGrid w:val="0"/>
              <w:spacing w:after="60" w:line="360" w:lineRule="auto"/>
              <w:rPr>
                <w:rFonts w:ascii="宋体" w:hAnsi="宋体"/>
                <w:b/>
                <w:szCs w:val="21"/>
              </w:rPr>
            </w:pPr>
            <w:r>
              <w:rPr>
                <w:rFonts w:hint="eastAsia" w:ascii="宋体" w:hAnsi="宋体"/>
                <w:b/>
                <w:szCs w:val="21"/>
              </w:rPr>
              <w:t>由于投标书编制软件设置开标一栏表固定格式只有“交货期”（或“完工期”）栏目的原因，服务类项目不存在“交货期”（或“完工期”），投标人在编制服务类项目投标文件时“交货期”（或“完工期”）建议统一填“</w:t>
            </w:r>
            <w:r>
              <w:rPr>
                <w:rFonts w:ascii="宋体" w:hAnsi="宋体"/>
                <w:b/>
                <w:szCs w:val="21"/>
              </w:rPr>
              <w:t>1</w:t>
            </w:r>
            <w:r>
              <w:rPr>
                <w:rFonts w:hint="eastAsia" w:ascii="宋体" w:hAnsi="宋体"/>
                <w:b/>
                <w:szCs w:val="21"/>
              </w:rPr>
              <w:t>”，投标人投标文件只要对项目具体的服务期限作出响应，此项填写内容不作为投标无效条款。</w:t>
            </w:r>
          </w:p>
          <w:p>
            <w:pPr>
              <w:adjustRightInd w:val="0"/>
              <w:snapToGrid w:val="0"/>
              <w:spacing w:after="60" w:line="360" w:lineRule="auto"/>
              <w:rPr>
                <w:rFonts w:asciiTheme="minorEastAsia" w:hAnsiTheme="minorEastAsia" w:eastAsiaTheme="minorEastAsia"/>
                <w:b/>
                <w:szCs w:val="21"/>
              </w:rPr>
            </w:pPr>
            <w:r>
              <w:rPr>
                <w:rFonts w:hint="eastAsia" w:ascii="宋体" w:hAnsi="宋体"/>
                <w:b/>
                <w:szCs w:val="21"/>
              </w:rPr>
              <w:t>开标一览表中投标人只需填报“投标总价（或总报价）”这一项报价。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5" w:type="dxa"/>
            <w:vAlign w:val="center"/>
          </w:tcPr>
          <w:p>
            <w:pPr>
              <w:pStyle w:val="175"/>
              <w:snapToGrid w:val="0"/>
              <w:spacing w:afterLines="25" w:line="240" w:lineRule="auto"/>
              <w:rPr>
                <w:rFonts w:asciiTheme="minorEastAsia" w:hAnsiTheme="minorEastAsia" w:eastAsiaTheme="minorEastAsia"/>
                <w:bCs w:val="0"/>
                <w:szCs w:val="21"/>
              </w:rPr>
            </w:pPr>
            <w:r>
              <w:rPr>
                <w:rFonts w:hint="eastAsia" w:asciiTheme="minorEastAsia" w:hAnsiTheme="minorEastAsia" w:eastAsiaTheme="minorEastAsia"/>
                <w:bCs w:val="0"/>
                <w:szCs w:val="21"/>
              </w:rPr>
              <w:t>15</w:t>
            </w:r>
          </w:p>
        </w:tc>
        <w:tc>
          <w:tcPr>
            <w:tcW w:w="8039" w:type="dxa"/>
            <w:vAlign w:val="center"/>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综合评分法，是指投标文件满足招标文件全部实质性要求，且按照评审因素的量化指标评审得分最高的投标人为中标候选人的评标方法。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5" w:type="dxa"/>
          </w:tcPr>
          <w:p>
            <w:pPr>
              <w:snapToGrid w:val="0"/>
              <w:spacing w:afterLines="0" w:line="240" w:lineRule="auto"/>
              <w:rPr>
                <w:rFonts w:cs="Arial" w:asciiTheme="minorEastAsia" w:hAnsiTheme="minorEastAsia" w:eastAsiaTheme="minorEastAsia"/>
                <w:szCs w:val="21"/>
              </w:rPr>
            </w:pPr>
            <w:r>
              <w:rPr>
                <w:rFonts w:hint="eastAsia" w:cs="Arial" w:asciiTheme="minorEastAsia" w:hAnsiTheme="minorEastAsia" w:eastAsiaTheme="minorEastAsia"/>
                <w:szCs w:val="21"/>
              </w:rPr>
              <w:t>16</w:t>
            </w:r>
          </w:p>
        </w:tc>
        <w:tc>
          <w:tcPr>
            <w:tcW w:w="8039" w:type="dxa"/>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授予合同时对货物或服务增加或减少的幅度：数量的±</w:t>
            </w:r>
            <w:r>
              <w:rPr>
                <w:rFonts w:asciiTheme="minorEastAsia" w:hAnsiTheme="minorEastAsia" w:eastAsiaTheme="minorEastAsia"/>
                <w:szCs w:val="21"/>
              </w:rPr>
              <w:t>10%</w:t>
            </w:r>
            <w:r>
              <w:rPr>
                <w:rFonts w:hint="eastAsia" w:asciiTheme="minorEastAsia" w:hAnsiTheme="minorEastAsia" w:eastAsiaTheme="minorEastAsia"/>
                <w:szCs w:val="21"/>
              </w:rPr>
              <w:t>（按投标报价计）。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5" w:type="dxa"/>
            <w:vAlign w:val="center"/>
          </w:tcPr>
          <w:p>
            <w:pPr>
              <w:pStyle w:val="175"/>
              <w:snapToGrid w:val="0"/>
              <w:spacing w:afterLines="25" w:line="240" w:lineRule="auto"/>
              <w:rPr>
                <w:rFonts w:asciiTheme="minorEastAsia" w:hAnsiTheme="minorEastAsia" w:eastAsiaTheme="minorEastAsia"/>
                <w:bCs w:val="0"/>
                <w:szCs w:val="21"/>
              </w:rPr>
            </w:pPr>
            <w:r>
              <w:rPr>
                <w:rFonts w:hint="eastAsia" w:asciiTheme="minorEastAsia" w:hAnsiTheme="minorEastAsia" w:eastAsiaTheme="minorEastAsia"/>
                <w:bCs w:val="0"/>
                <w:szCs w:val="21"/>
              </w:rPr>
              <w:t>17</w:t>
            </w:r>
          </w:p>
        </w:tc>
        <w:tc>
          <w:tcPr>
            <w:tcW w:w="8039" w:type="dxa"/>
            <w:vAlign w:val="center"/>
          </w:tcPr>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招投标过程中，投标人如出现以下情形，其（预）中标资格将被取消：</w:t>
            </w:r>
          </w:p>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）未通过资格后审；</w:t>
            </w:r>
          </w:p>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）不在规定的时间内与用户单位签订协合同。</w:t>
            </w:r>
          </w:p>
          <w:p>
            <w:pPr>
              <w:adjustRightInd w:val="0"/>
              <w:snapToGrid w:val="0"/>
              <w:spacing w:after="60"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）有弄虚作假的情况。</w:t>
            </w:r>
          </w:p>
          <w:p>
            <w:pPr>
              <w:adjustRightInd w:val="0"/>
              <w:snapToGrid w:val="0"/>
              <w:spacing w:after="60" w:line="360" w:lineRule="auto"/>
              <w:rPr>
                <w:rFonts w:cs="Arial"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）由于不可抗力或自身原因放弃中标资格。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 w:hRule="atLeast"/>
        </w:trPr>
        <w:tc>
          <w:tcPr>
            <w:tcW w:w="965" w:type="dxa"/>
            <w:vAlign w:val="center"/>
          </w:tcPr>
          <w:p>
            <w:pPr>
              <w:pStyle w:val="175"/>
              <w:snapToGrid w:val="0"/>
              <w:spacing w:afterLines="25" w:line="240" w:lineRule="auto"/>
              <w:ind w:left="420" w:hanging="420"/>
              <w:rPr>
                <w:rFonts w:asciiTheme="minorEastAsia" w:hAnsiTheme="minorEastAsia" w:eastAsiaTheme="minorEastAsia"/>
                <w:bCs w:val="0"/>
                <w:szCs w:val="21"/>
              </w:rPr>
            </w:pPr>
            <w:r>
              <w:rPr>
                <w:rFonts w:hint="eastAsia" w:asciiTheme="minorEastAsia" w:hAnsiTheme="minorEastAsia" w:eastAsiaTheme="minorEastAsia"/>
                <w:bCs w:val="0"/>
                <w:szCs w:val="21"/>
              </w:rPr>
              <w:t>18</w:t>
            </w:r>
          </w:p>
        </w:tc>
        <w:tc>
          <w:tcPr>
            <w:tcW w:w="8039" w:type="dxa"/>
            <w:vAlign w:val="center"/>
          </w:tcPr>
          <w:p>
            <w:pPr>
              <w:spacing w:after="60" w:line="300" w:lineRule="exact"/>
              <w:rPr>
                <w:rFonts w:asciiTheme="minorEastAsia" w:hAnsiTheme="minorEastAsia" w:eastAsiaTheme="minorEastAsia"/>
                <w:szCs w:val="21"/>
              </w:rPr>
            </w:pPr>
            <w:r>
              <w:rPr>
                <w:rFonts w:hint="eastAsia" w:asciiTheme="minorEastAsia" w:hAnsiTheme="minorEastAsia" w:eastAsiaTheme="minorEastAsia"/>
                <w:szCs w:val="21"/>
              </w:rPr>
              <w:t>招标代理服务费：</w:t>
            </w:r>
          </w:p>
          <w:p>
            <w:pPr>
              <w:spacing w:after="60" w:line="300" w:lineRule="exact"/>
              <w:rPr>
                <w:rFonts w:asciiTheme="minorEastAsia" w:hAnsiTheme="minorEastAsia" w:eastAsiaTheme="minorEastAsia"/>
                <w:szCs w:val="21"/>
              </w:rPr>
            </w:pPr>
            <w:r>
              <w:rPr>
                <w:rFonts w:hint="eastAsia" w:asciiTheme="minorEastAsia" w:hAnsiTheme="minorEastAsia" w:eastAsiaTheme="minorEastAsia"/>
                <w:b/>
                <w:szCs w:val="21"/>
              </w:rPr>
              <w:t>由中标单位缴纳。</w:t>
            </w:r>
            <w:r>
              <w:rPr>
                <w:rFonts w:asciiTheme="minorEastAsia" w:hAnsiTheme="minorEastAsia" w:eastAsiaTheme="minorEastAsia"/>
                <w:szCs w:val="21"/>
              </w:rPr>
              <w:t>招标代理</w:t>
            </w:r>
            <w:r>
              <w:rPr>
                <w:rFonts w:hint="eastAsia" w:asciiTheme="minorEastAsia" w:hAnsiTheme="minorEastAsia" w:eastAsiaTheme="minorEastAsia"/>
                <w:szCs w:val="21"/>
              </w:rPr>
              <w:t>服务费以</w:t>
            </w:r>
            <w:r>
              <w:rPr>
                <w:rFonts w:asciiTheme="minorEastAsia" w:hAnsiTheme="minorEastAsia" w:eastAsiaTheme="minorEastAsia"/>
                <w:szCs w:val="21"/>
              </w:rPr>
              <w:t>中标金额</w:t>
            </w:r>
            <w:r>
              <w:rPr>
                <w:rFonts w:hint="eastAsia" w:asciiTheme="minorEastAsia" w:hAnsiTheme="minorEastAsia" w:eastAsiaTheme="minorEastAsia"/>
                <w:szCs w:val="21"/>
              </w:rPr>
              <w:t>为计算基数，按</w:t>
            </w:r>
            <w:r>
              <w:rPr>
                <w:rFonts w:asciiTheme="minorEastAsia" w:hAnsiTheme="minorEastAsia" w:eastAsiaTheme="minorEastAsia"/>
                <w:szCs w:val="21"/>
              </w:rPr>
              <w:t>国家计委计价格〔2002〕1980号文</w:t>
            </w:r>
            <w:r>
              <w:rPr>
                <w:rFonts w:hint="eastAsia" w:asciiTheme="minorEastAsia" w:hAnsiTheme="minorEastAsia" w:eastAsiaTheme="minorEastAsia"/>
                <w:szCs w:val="21"/>
              </w:rPr>
              <w:t>的</w:t>
            </w:r>
            <w:r>
              <w:rPr>
                <w:rFonts w:asciiTheme="minorEastAsia" w:hAnsiTheme="minorEastAsia" w:eastAsiaTheme="minorEastAsia"/>
                <w:szCs w:val="21"/>
              </w:rPr>
              <w:t>规定</w:t>
            </w:r>
            <w:r>
              <w:rPr>
                <w:rFonts w:hint="eastAsia" w:asciiTheme="minorEastAsia" w:hAnsiTheme="minorEastAsia" w:eastAsiaTheme="minorEastAsia"/>
                <w:szCs w:val="21"/>
              </w:rPr>
              <w:t>，</w:t>
            </w:r>
            <w:r>
              <w:rPr>
                <w:rFonts w:asciiTheme="minorEastAsia" w:hAnsiTheme="minorEastAsia" w:eastAsiaTheme="minorEastAsia"/>
                <w:szCs w:val="21"/>
              </w:rPr>
              <w:t>按差额定率累进法计算</w:t>
            </w:r>
            <w:r>
              <w:rPr>
                <w:rFonts w:hint="eastAsia" w:asciiTheme="minorEastAsia" w:hAnsiTheme="minorEastAsia" w:eastAsiaTheme="minorEastAsia"/>
                <w:szCs w:val="21"/>
              </w:rPr>
              <w:t>。</w:t>
            </w:r>
          </w:p>
          <w:p>
            <w:pPr>
              <w:spacing w:after="60" w:line="300" w:lineRule="exact"/>
              <w:rPr>
                <w:rFonts w:asciiTheme="minorEastAsia" w:hAnsiTheme="minorEastAsia" w:eastAsiaTheme="minorEastAsia"/>
                <w:szCs w:val="21"/>
              </w:rPr>
            </w:pPr>
            <w:r>
              <w:rPr>
                <w:rFonts w:hint="eastAsia" w:asciiTheme="minorEastAsia" w:hAnsiTheme="minorEastAsia" w:eastAsiaTheme="minorEastAsia"/>
                <w:szCs w:val="21"/>
              </w:rPr>
              <w:t>招标代理服务费采用转账的方式，账户信息如下：</w:t>
            </w:r>
          </w:p>
          <w:p>
            <w:pPr>
              <w:spacing w:after="60"/>
              <w:rPr>
                <w:color w:val="000000"/>
                <w:szCs w:val="21"/>
              </w:rPr>
            </w:pPr>
            <w:r>
              <w:rPr>
                <w:rFonts w:hint="eastAsia"/>
                <w:color w:val="000000"/>
                <w:szCs w:val="21"/>
              </w:rPr>
              <w:t>户名：深圳高星项目管理有限公司</w:t>
            </w:r>
          </w:p>
          <w:p>
            <w:pPr>
              <w:spacing w:after="60"/>
              <w:rPr>
                <w:color w:val="000000"/>
                <w:szCs w:val="21"/>
              </w:rPr>
            </w:pPr>
            <w:r>
              <w:rPr>
                <w:rFonts w:hint="eastAsia"/>
                <w:color w:val="000000"/>
                <w:szCs w:val="21"/>
              </w:rPr>
              <w:t>账号：招商银行股份有限公司深圳车公庙支行</w:t>
            </w:r>
          </w:p>
          <w:p>
            <w:pPr>
              <w:spacing w:after="60" w:line="300" w:lineRule="exact"/>
              <w:rPr>
                <w:rFonts w:ascii="Calibri" w:hAnsi="Calibri" w:eastAsia="Calibri"/>
                <w:szCs w:val="21"/>
              </w:rPr>
            </w:pPr>
            <w:r>
              <w:rPr>
                <w:rFonts w:hint="eastAsia"/>
                <w:color w:val="000000"/>
                <w:szCs w:val="21"/>
              </w:rPr>
              <w:t>开户行：</w:t>
            </w:r>
            <w:r>
              <w:rPr>
                <w:color w:val="000000"/>
                <w:szCs w:val="21"/>
              </w:rPr>
              <w:t>755943550310901</w:t>
            </w:r>
          </w:p>
        </w:tc>
      </w:tr>
    </w:tbl>
    <w:p>
      <w:pPr>
        <w:tabs>
          <w:tab w:val="left" w:pos="4680"/>
        </w:tabs>
        <w:spacing w:before="50" w:afterLines="0" w:line="240" w:lineRule="auto"/>
        <w:ind w:firstLine="420" w:firstLineChars="200"/>
        <w:rPr>
          <w:rFonts w:cs="Arial"/>
        </w:rPr>
      </w:pPr>
    </w:p>
    <w:p>
      <w:pPr>
        <w:spacing w:after="60"/>
        <w:rPr>
          <w:rStyle w:val="54"/>
          <w:rFonts w:eastAsia="黑体"/>
          <w:kern w:val="0"/>
          <w:sz w:val="32"/>
        </w:rPr>
      </w:pPr>
      <w:r>
        <w:rPr>
          <w:rStyle w:val="54"/>
          <w:rFonts w:eastAsia="黑体"/>
          <w:b w:val="0"/>
          <w:bCs w:val="0"/>
          <w:kern w:val="0"/>
          <w:sz w:val="32"/>
        </w:rPr>
        <w:br w:type="page"/>
      </w:r>
    </w:p>
    <w:p>
      <w:pPr>
        <w:pStyle w:val="3"/>
        <w:spacing w:after="60"/>
        <w:jc w:val="center"/>
        <w:rPr>
          <w:rStyle w:val="54"/>
          <w:rFonts w:eastAsia="黑体"/>
          <w:b/>
          <w:bCs/>
          <w:kern w:val="0"/>
          <w:sz w:val="32"/>
        </w:rPr>
      </w:pPr>
      <w:r>
        <w:rPr>
          <w:rStyle w:val="54"/>
          <w:rFonts w:hint="eastAsia" w:eastAsia="黑体"/>
          <w:b/>
          <w:bCs/>
          <w:kern w:val="0"/>
          <w:sz w:val="32"/>
        </w:rPr>
        <w:t xml:space="preserve">第三章  </w:t>
      </w:r>
      <w:r>
        <w:rPr>
          <w:rFonts w:hint="eastAsia"/>
        </w:rPr>
        <w:t>项目需求书</w:t>
      </w:r>
    </w:p>
    <w:p>
      <w:pPr>
        <w:spacing w:after="60" w:line="360" w:lineRule="auto"/>
        <w:rPr>
          <w:b/>
        </w:rPr>
      </w:pPr>
      <w:r>
        <w:rPr>
          <w:rFonts w:hint="eastAsia"/>
          <w:b/>
        </w:rPr>
        <w:t>一、项目背景</w:t>
      </w:r>
    </w:p>
    <w:p>
      <w:pPr>
        <w:spacing w:after="60" w:line="360" w:lineRule="auto"/>
        <w:ind w:firstLine="411" w:firstLineChars="196"/>
        <w:rPr>
          <w:b/>
        </w:rPr>
      </w:pPr>
      <w:r>
        <w:rPr>
          <w:rFonts w:hint="eastAsia" w:ascii="宋体" w:hAnsi="宋体" w:cs="宋体"/>
          <w:szCs w:val="21"/>
        </w:rPr>
        <w:t>为进一步完善我市薪酬调查和信息发布制度，切实推进工资收入分配制度改革，按照国家人力资源社会保障部、省人力资源社会保障厅有关要求，深圳市人力资源和社会保障局拟委托1家具有专业资质的公司为其提供2021年企业薪酬调查及工资指导价位制订服务，对一定数量的企业和社会组织进行调查，了解我市企业人工成本和从业人员工资报酬情况，并形成相关研究报告。</w:t>
      </w:r>
      <w:r>
        <w:rPr>
          <w:rFonts w:hint="eastAsia"/>
          <w:b/>
        </w:rPr>
        <w:t>二、技术要求（说明：</w:t>
      </w:r>
      <w:r>
        <w:rPr>
          <w:rFonts w:hint="eastAsia" w:asciiTheme="minorEastAsia" w:hAnsiTheme="minorEastAsia" w:eastAsiaTheme="minorEastAsia"/>
          <w:b/>
          <w:szCs w:val="21"/>
        </w:rPr>
        <w:t>“★”号技术条款为必须实质性响应条款，负偏离将作无效投标处理。“▲”号技术条款为重要响应条款，作为重点评分条款</w:t>
      </w:r>
      <w:r>
        <w:rPr>
          <w:rFonts w:hint="eastAsia"/>
          <w:b/>
        </w:rPr>
        <w:t>）</w:t>
      </w:r>
    </w:p>
    <w:p>
      <w:pPr>
        <w:spacing w:after="60" w:line="240" w:lineRule="auto"/>
        <w:ind w:firstLine="413" w:firstLineChars="196"/>
        <w:jc w:val="left"/>
        <w:rPr>
          <w:rFonts w:asciiTheme="minorEastAsia" w:hAnsiTheme="minorEastAsia" w:eastAsiaTheme="minorEastAsia"/>
          <w:b/>
          <w:szCs w:val="21"/>
        </w:rPr>
      </w:pPr>
      <w:r>
        <w:rPr>
          <w:rFonts w:hint="eastAsia" w:asciiTheme="minorEastAsia" w:hAnsiTheme="minorEastAsia" w:eastAsiaTheme="minorEastAsia"/>
          <w:b/>
          <w:szCs w:val="21"/>
        </w:rPr>
        <w:t>（一）总体要求及服务内容</w:t>
      </w:r>
    </w:p>
    <w:p>
      <w:pPr>
        <w:spacing w:after="60"/>
        <w:ind w:firstLine="420" w:firstLineChars="200"/>
        <w:rPr>
          <w:rFonts w:ascii="宋体" w:hAnsi="宋体" w:cs="宋体"/>
          <w:szCs w:val="21"/>
          <w:lang w:val="zh-CN"/>
        </w:rPr>
      </w:pPr>
      <w:r>
        <w:rPr>
          <w:rFonts w:hint="eastAsia" w:ascii="宋体" w:hAnsi="宋体" w:cs="宋体"/>
          <w:szCs w:val="21"/>
          <w:lang w:val="zh-CN"/>
        </w:rPr>
        <w:t>（1）根据招标方要求，完成我市4000家左右样本企业和社会组织的人工成本和薪酬水平调查，按要求上报数据，并报送招标方；</w:t>
      </w:r>
    </w:p>
    <w:p>
      <w:pPr>
        <w:spacing w:after="60"/>
        <w:ind w:firstLine="420" w:firstLineChars="200"/>
        <w:rPr>
          <w:rFonts w:ascii="宋体" w:hAnsi="宋体" w:cs="宋体"/>
          <w:szCs w:val="21"/>
          <w:lang w:val="zh-CN"/>
        </w:rPr>
      </w:pPr>
      <w:r>
        <w:rPr>
          <w:rFonts w:hint="eastAsia" w:ascii="宋体" w:hAnsi="宋体" w:cs="宋体"/>
          <w:szCs w:val="21"/>
          <w:lang w:val="zh-CN"/>
        </w:rPr>
        <w:t>（2）做好样本企业和社会组织的填报人员业务培训工作，指导填报人员严格按照指标解释进行填报，确保填报数据准确，并做好相应台账；</w:t>
      </w:r>
    </w:p>
    <w:p>
      <w:pPr>
        <w:spacing w:after="60"/>
        <w:ind w:firstLine="420" w:firstLineChars="200"/>
        <w:rPr>
          <w:rFonts w:ascii="宋体" w:hAnsi="宋体" w:cs="宋体"/>
          <w:szCs w:val="21"/>
          <w:lang w:val="zh-CN"/>
        </w:rPr>
      </w:pPr>
      <w:r>
        <w:rPr>
          <w:rFonts w:hint="eastAsia" w:ascii="宋体" w:hAnsi="宋体" w:cs="宋体"/>
          <w:szCs w:val="21"/>
          <w:lang w:val="zh-CN"/>
        </w:rPr>
        <w:t>（3）为企业填报数据提供高质量的、切实有效的技术咨询和支持服务，及时解决填报环节出现的问题，确保按时按质回收数据；</w:t>
      </w:r>
    </w:p>
    <w:p>
      <w:pPr>
        <w:spacing w:after="60"/>
        <w:ind w:firstLine="420" w:firstLineChars="200"/>
        <w:rPr>
          <w:rFonts w:ascii="宋体" w:hAnsi="宋体" w:cs="宋体"/>
          <w:szCs w:val="21"/>
          <w:lang w:val="zh-CN"/>
        </w:rPr>
      </w:pPr>
      <w:r>
        <w:rPr>
          <w:rFonts w:hint="eastAsia" w:ascii="宋体" w:hAnsi="宋体" w:cs="宋体"/>
          <w:szCs w:val="21"/>
          <w:lang w:val="zh-CN"/>
        </w:rPr>
        <w:t>（4）对调查数据的真实性、合理性进行审核，对不符合要求的数据进行复核、重新填写和完善，并按不低于样本1%的比例进行抽查；</w:t>
      </w:r>
    </w:p>
    <w:p>
      <w:pPr>
        <w:spacing w:after="60"/>
        <w:ind w:firstLine="420" w:firstLineChars="200"/>
        <w:rPr>
          <w:rFonts w:ascii="宋体" w:hAnsi="宋体" w:cs="宋体"/>
          <w:szCs w:val="21"/>
          <w:lang w:val="zh-CN"/>
        </w:rPr>
      </w:pPr>
      <w:r>
        <w:rPr>
          <w:rFonts w:hint="eastAsia" w:ascii="宋体" w:hAnsi="宋体" w:cs="宋体"/>
          <w:szCs w:val="21"/>
          <w:lang w:val="zh-CN"/>
        </w:rPr>
        <w:t>（5）对调查数据进行汇总、梳理和研究分析，根据招标方要求，在规定时间内上报项目成果，完成深圳市2021年企业薪酬调查数据分析报告、深圳市2021年企业人工成本分析报告、深圳市2021年人力资源市场工资指导价位等相关研究报告；</w:t>
      </w:r>
    </w:p>
    <w:p>
      <w:pPr>
        <w:spacing w:after="60"/>
        <w:ind w:firstLine="420" w:firstLineChars="200"/>
        <w:rPr>
          <w:rFonts w:ascii="宋体" w:hAnsi="宋体" w:cs="宋体"/>
          <w:szCs w:val="21"/>
          <w:lang w:val="zh-CN"/>
        </w:rPr>
      </w:pPr>
      <w:r>
        <w:rPr>
          <w:rFonts w:hint="eastAsia" w:ascii="宋体" w:hAnsi="宋体" w:cs="宋体"/>
          <w:szCs w:val="21"/>
          <w:lang w:val="zh-CN"/>
        </w:rPr>
        <w:t>（6）在制订完成《深圳市2021年人力资源市场工资指导价位》并经招标方确认后，印制2500册实体书刊并分送广东省内相关单位。规格型号为：尺寸210mm*285mm、约230页、封面300g铜板材质、内文157g哑粉、4C印刷工艺，封面哑胶、压纹、锁线胶装；</w:t>
      </w:r>
    </w:p>
    <w:p>
      <w:pPr>
        <w:spacing w:after="60"/>
        <w:ind w:firstLine="421" w:firstLineChars="200"/>
        <w:rPr>
          <w:rFonts w:ascii="宋体" w:hAnsi="宋体" w:cs="宋体"/>
          <w:b/>
          <w:szCs w:val="21"/>
          <w:lang w:val="zh-CN"/>
        </w:rPr>
      </w:pPr>
      <w:r>
        <w:rPr>
          <w:rFonts w:hint="eastAsia" w:ascii="宋体" w:hAnsi="宋体" w:cs="宋体"/>
          <w:b/>
          <w:szCs w:val="21"/>
          <w:lang w:val="zh-CN"/>
        </w:rPr>
        <w:t>（7）根据招标方要求，向参与调查的工作人员、填报人员以及协助开展机械、装饰、饭店、旅游、公路货运与物流、医药、快递、养老服务、社工、家政服务、社会组织、社会办医疗机构等调查工作的组织发放补贴。其中工作人员的补贴标准为200元/家·人，填报人员的补贴标准为100元/人，组织的补贴标准不低于3万元/家，并做好相应台账；</w:t>
      </w:r>
    </w:p>
    <w:p>
      <w:pPr>
        <w:spacing w:after="60"/>
        <w:ind w:firstLine="421" w:firstLineChars="200"/>
        <w:rPr>
          <w:rFonts w:ascii="宋体" w:hAnsi="宋体" w:cs="宋体"/>
          <w:b/>
          <w:szCs w:val="21"/>
          <w:lang w:val="zh-CN"/>
        </w:rPr>
      </w:pPr>
      <w:r>
        <w:rPr>
          <w:rFonts w:hint="eastAsia" w:ascii="宋体" w:hAnsi="宋体" w:cs="宋体"/>
          <w:b/>
          <w:szCs w:val="21"/>
          <w:lang w:val="zh-CN"/>
        </w:rPr>
        <w:t>（8）薪酬调查工作以及深圳市2021年企业薪酬调查数据分析报告、深圳市2021年企业人工成本分析报告、深圳市2021年人力资源市场工资指导价位等相关研究报告需要在2021年8月15日前完成。</w:t>
      </w:r>
    </w:p>
    <w:p>
      <w:pPr>
        <w:spacing w:after="60" w:line="240" w:lineRule="auto"/>
        <w:ind w:firstLine="413" w:firstLineChars="196"/>
        <w:jc w:val="left"/>
        <w:rPr>
          <w:rFonts w:asciiTheme="minorEastAsia" w:hAnsiTheme="minorEastAsia" w:eastAsiaTheme="minorEastAsia"/>
          <w:b/>
          <w:szCs w:val="21"/>
        </w:rPr>
      </w:pPr>
      <w:r>
        <w:rPr>
          <w:rFonts w:asciiTheme="minorEastAsia" w:hAnsiTheme="minorEastAsia" w:eastAsiaTheme="minorEastAsia"/>
          <w:b/>
          <w:szCs w:val="21"/>
        </w:rPr>
        <w:t>（二）</w:t>
      </w:r>
      <w:r>
        <w:rPr>
          <w:rFonts w:hint="eastAsia" w:asciiTheme="minorEastAsia" w:hAnsiTheme="minorEastAsia" w:eastAsiaTheme="minorEastAsia"/>
          <w:b/>
          <w:szCs w:val="21"/>
        </w:rPr>
        <w:t>项目管理要求</w:t>
      </w:r>
    </w:p>
    <w:p>
      <w:pPr>
        <w:spacing w:after="60"/>
        <w:ind w:firstLine="420" w:firstLineChars="200"/>
        <w:rPr>
          <w:rFonts w:ascii="宋体" w:hAnsi="宋体" w:cs="宋体"/>
          <w:szCs w:val="21"/>
          <w:lang w:val="zh-CN"/>
        </w:rPr>
      </w:pPr>
      <w:r>
        <w:rPr>
          <w:rFonts w:hint="eastAsia" w:ascii="宋体" w:hAnsi="宋体" w:cs="宋体"/>
          <w:szCs w:val="21"/>
          <w:lang w:val="zh-CN"/>
        </w:rPr>
        <w:t>1、保密要求：中标人必须与采购人签订保密协议，同时中标人应与项目参与人员签订保密协议并抄送采购人；</w:t>
      </w:r>
    </w:p>
    <w:p>
      <w:pPr>
        <w:spacing w:after="60"/>
        <w:ind w:firstLine="420" w:firstLineChars="200"/>
        <w:rPr>
          <w:rFonts w:ascii="宋体" w:hAnsi="宋体" w:cs="宋体"/>
          <w:szCs w:val="21"/>
          <w:lang w:val="zh-CN"/>
        </w:rPr>
      </w:pPr>
      <w:r>
        <w:rPr>
          <w:rFonts w:hint="eastAsia" w:ascii="宋体" w:hAnsi="宋体" w:cs="宋体"/>
          <w:szCs w:val="21"/>
          <w:lang w:val="zh-CN"/>
        </w:rPr>
        <w:t>2、人员要求：投标任必须保证投入本项目的参与人员不少于5人。</w:t>
      </w:r>
    </w:p>
    <w:p>
      <w:pPr>
        <w:spacing w:after="60"/>
        <w:ind w:firstLine="420" w:firstLineChars="200"/>
        <w:rPr>
          <w:rFonts w:ascii="宋体" w:hAnsi="宋体" w:cs="宋体"/>
          <w:szCs w:val="21"/>
          <w:lang w:val="zh-CN"/>
        </w:rPr>
      </w:pPr>
      <w:r>
        <w:rPr>
          <w:rFonts w:hint="eastAsia" w:ascii="宋体" w:hAnsi="宋体" w:cs="宋体"/>
          <w:szCs w:val="21"/>
          <w:lang w:val="zh-CN"/>
        </w:rPr>
        <w:t>3、成果及归属权</w:t>
      </w:r>
    </w:p>
    <w:p>
      <w:pPr>
        <w:spacing w:after="60"/>
        <w:ind w:firstLine="420" w:firstLineChars="200"/>
        <w:rPr>
          <w:rFonts w:ascii="宋体" w:hAnsi="宋体" w:cs="宋体"/>
          <w:szCs w:val="21"/>
          <w:lang w:val="zh-CN"/>
        </w:rPr>
      </w:pPr>
      <w:r>
        <w:rPr>
          <w:rFonts w:hint="eastAsia" w:ascii="宋体" w:hAnsi="宋体" w:cs="宋体"/>
          <w:szCs w:val="21"/>
          <w:lang w:val="zh-CN"/>
        </w:rPr>
        <w:t>（1）提供深圳市2021年薪酬调查的所有原始数据电子版文件（光盘）；</w:t>
      </w:r>
    </w:p>
    <w:p>
      <w:pPr>
        <w:spacing w:after="60"/>
        <w:ind w:firstLine="420" w:firstLineChars="200"/>
        <w:rPr>
          <w:rFonts w:ascii="宋体" w:hAnsi="宋体" w:cs="宋体"/>
          <w:szCs w:val="21"/>
          <w:lang w:val="zh-CN"/>
        </w:rPr>
      </w:pPr>
      <w:r>
        <w:rPr>
          <w:rFonts w:hint="eastAsia" w:ascii="宋体" w:hAnsi="宋体" w:cs="宋体"/>
          <w:szCs w:val="21"/>
          <w:lang w:val="zh-CN"/>
        </w:rPr>
        <w:t>（2）提供深圳市2021年企业薪酬调查数据分析报告、深圳市2021年企业人工成本分析报告、深圳市2021年人力资源市场工资指导价位等相关研究报告纸质版及电子版文件（光盘)；</w:t>
      </w:r>
    </w:p>
    <w:p>
      <w:pPr>
        <w:spacing w:after="60"/>
        <w:ind w:firstLine="420" w:firstLineChars="200"/>
        <w:rPr>
          <w:rFonts w:ascii="宋体" w:hAnsi="宋体" w:cs="宋体"/>
          <w:szCs w:val="21"/>
          <w:lang w:val="zh-CN"/>
        </w:rPr>
      </w:pPr>
      <w:r>
        <w:rPr>
          <w:rFonts w:hint="eastAsia" w:ascii="宋体" w:hAnsi="宋体" w:cs="宋体"/>
          <w:szCs w:val="21"/>
          <w:lang w:val="zh-CN"/>
        </w:rPr>
        <w:t>（3）项目成果归深圳市人力资源和社会保障局所有。未经采购人的书面同意，中标人不得将上述资料和成果用于与本项目之外的其他项目。</w:t>
      </w:r>
    </w:p>
    <w:p>
      <w:pPr>
        <w:spacing w:after="60" w:line="240" w:lineRule="auto"/>
        <w:ind w:firstLine="413" w:firstLineChars="196"/>
        <w:jc w:val="left"/>
        <w:rPr>
          <w:rFonts w:asciiTheme="minorEastAsia" w:hAnsiTheme="minorEastAsia" w:eastAsiaTheme="minorEastAsia"/>
          <w:b/>
          <w:szCs w:val="21"/>
        </w:rPr>
      </w:pPr>
    </w:p>
    <w:p>
      <w:pPr>
        <w:spacing w:after="60"/>
        <w:ind w:firstLine="413" w:firstLineChars="196"/>
        <w:rPr>
          <w:b/>
        </w:rPr>
      </w:pPr>
      <w:r>
        <w:rPr>
          <w:rFonts w:hint="eastAsia"/>
          <w:b/>
        </w:rPr>
        <w:t>三、商务要求（说明：标</w:t>
      </w:r>
      <w:r>
        <w:rPr>
          <w:rFonts w:hint="eastAsia" w:asciiTheme="minorEastAsia" w:hAnsiTheme="minorEastAsia" w:eastAsiaTheme="minorEastAsia"/>
          <w:b/>
          <w:szCs w:val="21"/>
        </w:rPr>
        <w:t>“★”号条款为必须实质性响应条款，负偏离将作无效投标处理。</w:t>
      </w:r>
      <w:r>
        <w:rPr>
          <w:rFonts w:hint="eastAsia"/>
          <w:b/>
        </w:rPr>
        <w:t>）</w:t>
      </w:r>
    </w:p>
    <w:p>
      <w:pPr>
        <w:spacing w:after="60" w:line="360" w:lineRule="auto"/>
        <w:ind w:firstLine="421"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
          <w:bCs/>
          <w:color w:val="FF0000"/>
          <w:kern w:val="0"/>
          <w:szCs w:val="21"/>
        </w:rPr>
        <w:t>1、本项目预算金额</w:t>
      </w:r>
      <w:r>
        <w:rPr>
          <w:rFonts w:hint="eastAsia" w:cs="仿宋" w:asciiTheme="minorEastAsia" w:hAnsiTheme="minorEastAsia" w:eastAsiaTheme="minorEastAsia"/>
          <w:b/>
          <w:color w:val="FF0000"/>
          <w:szCs w:val="21"/>
        </w:rPr>
        <w:t>为人民币2,674,270.00元，</w:t>
      </w:r>
      <w:r>
        <w:rPr>
          <w:rFonts w:hint="eastAsia" w:cs="宋体" w:asciiTheme="minorEastAsia" w:hAnsiTheme="minorEastAsia" w:eastAsiaTheme="minorEastAsia"/>
          <w:b/>
          <w:bCs/>
          <w:color w:val="FF0000"/>
          <w:kern w:val="0"/>
          <w:szCs w:val="21"/>
        </w:rPr>
        <w:t>供应商最终投标报价高于预算金额的为无效投标。</w:t>
      </w:r>
    </w:p>
    <w:p>
      <w:pPr>
        <w:spacing w:after="60" w:line="360" w:lineRule="auto"/>
        <w:ind w:firstLine="420" w:firstLineChars="200"/>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t>2</w:t>
      </w:r>
      <w:r>
        <w:rPr>
          <w:rFonts w:hint="eastAsia" w:cs="宋体" w:asciiTheme="minorEastAsia" w:hAnsiTheme="minorEastAsia" w:eastAsiaTheme="minorEastAsia"/>
          <w:bCs/>
          <w:kern w:val="0"/>
          <w:szCs w:val="21"/>
        </w:rPr>
        <w:t>、本次招标项目服务费的投标报价由各投标人按招标文件的服务内容、要求自主报价</w:t>
      </w:r>
    </w:p>
    <w:p>
      <w:pPr>
        <w:spacing w:after="60" w:line="360" w:lineRule="auto"/>
        <w:ind w:firstLine="420" w:firstLineChars="200"/>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3、报价为全包价，以人民币为结算单位，投标报价应包括本次服务工作所涉及的各项补贴、劳务、管理、利润、税金及合同包含的所有风险、责任等一切费用。如果投标人对某项报价进行保留或未计，则有可能被视为不响应招标文件。</w:t>
      </w:r>
    </w:p>
    <w:p>
      <w:pPr>
        <w:adjustRightInd w:val="0"/>
        <w:spacing w:after="60"/>
        <w:ind w:firstLine="421" w:firstLineChars="200"/>
        <w:rPr>
          <w:rFonts w:cs="宋体" w:asciiTheme="minorEastAsia" w:hAnsiTheme="minorEastAsia" w:eastAsiaTheme="minorEastAsia"/>
          <w:b/>
          <w:bCs/>
          <w:color w:val="FF0000"/>
          <w:kern w:val="0"/>
          <w:szCs w:val="21"/>
        </w:rPr>
      </w:pPr>
      <w:r>
        <w:rPr>
          <w:rFonts w:hint="eastAsia" w:cs="宋体" w:asciiTheme="minorEastAsia" w:hAnsiTheme="minorEastAsia" w:eastAsiaTheme="minorEastAsia"/>
          <w:b/>
          <w:bCs/>
          <w:color w:val="FF0000"/>
          <w:kern w:val="0"/>
          <w:szCs w:val="21"/>
        </w:rPr>
        <w:t>4、本项目服务期为一年。</w:t>
      </w:r>
      <w:r>
        <w:rPr>
          <w:rFonts w:hint="eastAsia" w:cs="宋体" w:asciiTheme="minorEastAsia" w:hAnsiTheme="minorEastAsia" w:eastAsiaTheme="minorEastAsia"/>
          <w:kern w:val="0"/>
          <w:szCs w:val="21"/>
        </w:rPr>
        <w:t>本项目为长期服务项目，每年服务期满前，由甲方依据乙方履约情况及甲方需求确定是否延长合同期限，合同每年一签，但最长不超过3年。</w:t>
      </w:r>
    </w:p>
    <w:p>
      <w:pPr>
        <w:spacing w:after="60"/>
        <w:ind w:firstLine="420" w:firstLineChars="200"/>
        <w:rPr>
          <w:rFonts w:ascii="宋体" w:hAnsi="宋体" w:cs="宋体"/>
          <w:szCs w:val="21"/>
        </w:rPr>
      </w:pPr>
      <w:r>
        <w:rPr>
          <w:rFonts w:hint="eastAsia" w:ascii="宋体" w:hAnsi="宋体" w:cs="宋体"/>
          <w:szCs w:val="21"/>
        </w:rPr>
        <w:t>5、验收方式：采购人按合同约定组织验收，若发现中标人提供服务不符合要求的，在该中标人应得服务费总款中扣减相应比例的费用。有关比例由双方商定。此外，若中标方实际调查的样本数不足招标方要求的95%，则以成交价格的20%为基数，按调查完成比例据实结算。</w:t>
      </w:r>
    </w:p>
    <w:p>
      <w:pPr>
        <w:spacing w:after="60"/>
        <w:ind w:firstLine="420" w:firstLineChars="200"/>
        <w:rPr>
          <w:rFonts w:ascii="宋体" w:hAnsi="宋体" w:cs="宋体"/>
          <w:szCs w:val="21"/>
        </w:rPr>
      </w:pPr>
      <w:r>
        <w:rPr>
          <w:rFonts w:hint="eastAsia" w:ascii="宋体" w:hAnsi="宋体" w:cs="宋体"/>
          <w:szCs w:val="21"/>
        </w:rPr>
        <w:t>6、付款方式：按项目结算。</w:t>
      </w:r>
    </w:p>
    <w:p>
      <w:pPr>
        <w:spacing w:after="60"/>
        <w:ind w:firstLine="420" w:firstLineChars="200"/>
        <w:rPr>
          <w:rFonts w:ascii="宋体" w:hAnsi="宋体" w:cs="宋体"/>
          <w:szCs w:val="21"/>
        </w:rPr>
      </w:pPr>
      <w:r>
        <w:rPr>
          <w:rFonts w:hint="eastAsia" w:ascii="宋体" w:hAnsi="宋体" w:cs="宋体"/>
          <w:szCs w:val="21"/>
        </w:rPr>
        <w:t>项目资金分三期支付。合同签订后支付总款的40%，汇总梳理调查数据并经甲方确认后支付总款40%，通过项目验收合格后支付总款的20%。</w:t>
      </w:r>
    </w:p>
    <w:p>
      <w:pPr>
        <w:widowControl/>
        <w:spacing w:afterLines="0" w:line="240" w:lineRule="auto"/>
        <w:jc w:val="left"/>
        <w:rPr>
          <w:rFonts w:cs="宋体" w:asciiTheme="minorEastAsia" w:hAnsiTheme="minorEastAsia" w:eastAsiaTheme="minorEastAsia"/>
          <w:bCs/>
          <w:kern w:val="0"/>
          <w:szCs w:val="21"/>
        </w:rPr>
      </w:pPr>
      <w:r>
        <w:rPr>
          <w:rFonts w:cs="宋体" w:asciiTheme="minorEastAsia" w:hAnsiTheme="minorEastAsia" w:eastAsiaTheme="minorEastAsia"/>
          <w:bCs/>
          <w:kern w:val="0"/>
          <w:szCs w:val="21"/>
        </w:rPr>
        <w:br w:type="page"/>
      </w:r>
    </w:p>
    <w:p>
      <w:pPr>
        <w:pStyle w:val="3"/>
        <w:spacing w:after="60"/>
        <w:jc w:val="center"/>
        <w:rPr>
          <w:rStyle w:val="54"/>
          <w:b/>
          <w:bCs/>
        </w:rPr>
      </w:pPr>
      <w:r>
        <w:rPr>
          <w:rStyle w:val="54"/>
          <w:rFonts w:hint="eastAsia" w:eastAsia="黑体"/>
          <w:b/>
          <w:bCs/>
          <w:kern w:val="0"/>
          <w:sz w:val="32"/>
        </w:rPr>
        <w:t>第四章  投标文件格式、附件</w:t>
      </w:r>
    </w:p>
    <w:p>
      <w:pPr>
        <w:spacing w:after="60"/>
        <w:rPr>
          <w:rStyle w:val="56"/>
          <w:bCs w:val="0"/>
          <w:sz w:val="28"/>
          <w:szCs w:val="28"/>
        </w:rPr>
      </w:pPr>
      <w:r>
        <w:rPr>
          <w:rStyle w:val="56"/>
          <w:rFonts w:hint="eastAsia"/>
          <w:bCs w:val="0"/>
          <w:sz w:val="28"/>
          <w:szCs w:val="28"/>
        </w:rPr>
        <w:t>投标文件组成：</w:t>
      </w:r>
    </w:p>
    <w:p>
      <w:pPr>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投标文件正文</w:t>
      </w:r>
      <w:r>
        <w:rPr>
          <w:rFonts w:hint="eastAsia" w:asciiTheme="minorEastAsia" w:hAnsiTheme="minorEastAsia" w:eastAsiaTheme="minorEastAsia"/>
          <w:b/>
          <w:szCs w:val="21"/>
        </w:rPr>
        <w:t>（信息公开部分）</w:t>
      </w:r>
      <w:r>
        <w:rPr>
          <w:rFonts w:hint="eastAsia" w:asciiTheme="minorEastAsia" w:hAnsiTheme="minorEastAsia" w:eastAsiaTheme="minorEastAsia"/>
          <w:szCs w:val="21"/>
        </w:rPr>
        <w:t>，主要包括以下内容：</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投标函</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政府采购投标及履约承诺函</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（3）关于资格的声明函</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（4）投标一览表</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（5）分项报价表</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（6）技术要求偏离表</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（7）商务条款响应表</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（8）投标人情况介绍</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（9）同类业绩</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（10）拟安排的项目负责人情况（仅限一人）</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（11）拟安排的项目团队成员情况（项目负责人除外）</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（12）企业认证</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（13）履约评价情况</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（14）政府采购优惠政策</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（15）</w:t>
      </w:r>
      <w:r>
        <w:rPr>
          <w:rFonts w:asciiTheme="minorEastAsia" w:hAnsiTheme="minorEastAsia" w:eastAsiaTheme="minorEastAsia"/>
          <w:szCs w:val="21"/>
        </w:rPr>
        <w:t>投标人认为需要提供的其他证明文件</w:t>
      </w:r>
    </w:p>
    <w:p>
      <w:pPr>
        <w:spacing w:after="60" w:line="360" w:lineRule="auto"/>
        <w:ind w:left="718" w:leftChars="342" w:firstLine="420" w:firstLineChars="200"/>
        <w:rPr>
          <w:rFonts w:asciiTheme="minorEastAsia" w:hAnsiTheme="minorEastAsia" w:eastAsiaTheme="minorEastAsia"/>
          <w:szCs w:val="21"/>
        </w:rPr>
      </w:pPr>
    </w:p>
    <w:p>
      <w:pPr>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投标文件附件</w:t>
      </w:r>
      <w:r>
        <w:rPr>
          <w:rFonts w:hint="eastAsia" w:asciiTheme="minorEastAsia" w:hAnsiTheme="minorEastAsia" w:eastAsiaTheme="minorEastAsia"/>
          <w:b/>
          <w:szCs w:val="21"/>
        </w:rPr>
        <w:t>（信息不公开部分）</w:t>
      </w:r>
      <w:r>
        <w:rPr>
          <w:rFonts w:hint="eastAsia" w:asciiTheme="minorEastAsia" w:hAnsiTheme="minorEastAsia" w:eastAsiaTheme="minorEastAsia"/>
          <w:szCs w:val="21"/>
        </w:rPr>
        <w:t>：主要包括以下内容：</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）法定代表人资格证明书</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）法定代表人授权书</w:t>
      </w:r>
    </w:p>
    <w:p>
      <w:pPr>
        <w:spacing w:after="60" w:line="360" w:lineRule="auto"/>
        <w:ind w:firstLine="420" w:firstLineChars="200"/>
        <w:rPr>
          <w:rFonts w:asciiTheme="minorEastAsia" w:hAnsiTheme="minorEastAsia" w:eastAsiaTheme="minorEastAsia"/>
          <w:kern w:val="0"/>
          <w:szCs w:val="21"/>
        </w:rPr>
      </w:pPr>
      <w:r>
        <w:rPr>
          <w:rFonts w:hint="eastAsia" w:asciiTheme="minorEastAsia" w:hAnsiTheme="minorEastAsia" w:eastAsiaTheme="minorEastAsia"/>
          <w:szCs w:val="21"/>
        </w:rPr>
        <w:t>（3）服务方案</w:t>
      </w:r>
    </w:p>
    <w:p>
      <w:pPr>
        <w:widowControl/>
        <w:spacing w:afterLines="0" w:line="240" w:lineRule="auto"/>
        <w:jc w:val="left"/>
        <w:rPr>
          <w:rFonts w:ascii="宋体"/>
          <w:kern w:val="0"/>
          <w:sz w:val="24"/>
          <w:szCs w:val="20"/>
        </w:rPr>
      </w:pPr>
      <w:r>
        <w:rPr>
          <w:rFonts w:ascii="宋体"/>
          <w:kern w:val="0"/>
          <w:sz w:val="24"/>
          <w:szCs w:val="20"/>
        </w:rPr>
        <w:br w:type="page"/>
      </w:r>
    </w:p>
    <w:p>
      <w:pPr>
        <w:spacing w:after="60"/>
        <w:rPr>
          <w:rFonts w:ascii="宋体"/>
          <w:kern w:val="0"/>
          <w:sz w:val="32"/>
          <w:szCs w:val="32"/>
        </w:rPr>
      </w:pPr>
      <w:r>
        <w:rPr>
          <w:rFonts w:hint="eastAsia" w:ascii="宋体" w:hAnsi="宋体"/>
          <w:b/>
          <w:sz w:val="32"/>
          <w:szCs w:val="32"/>
        </w:rPr>
        <w:t>信息公开部分</w:t>
      </w:r>
      <w:r>
        <w:rPr>
          <w:rFonts w:ascii="宋体" w:hAnsi="宋体"/>
          <w:b/>
          <w:sz w:val="32"/>
          <w:szCs w:val="32"/>
        </w:rPr>
        <w:t>:</w:t>
      </w:r>
    </w:p>
    <w:p>
      <w:pPr>
        <w:pStyle w:val="3"/>
        <w:adjustRightInd w:val="0"/>
        <w:spacing w:after="60" w:line="240" w:lineRule="auto"/>
        <w:jc w:val="center"/>
        <w:textAlignment w:val="baseline"/>
        <w:rPr>
          <w:rFonts w:ascii="宋体" w:hAnsi="宋体" w:eastAsia="宋体"/>
          <w:sz w:val="24"/>
          <w:szCs w:val="20"/>
        </w:rPr>
      </w:pPr>
      <w:r>
        <w:rPr>
          <w:rFonts w:ascii="宋体" w:hAnsi="宋体" w:eastAsia="宋体"/>
          <w:sz w:val="24"/>
          <w:szCs w:val="20"/>
        </w:rPr>
        <w:t>1.</w:t>
      </w:r>
      <w:r>
        <w:rPr>
          <w:rFonts w:hint="eastAsia" w:ascii="宋体" w:hAnsi="宋体" w:eastAsia="宋体"/>
          <w:sz w:val="24"/>
          <w:szCs w:val="20"/>
        </w:rPr>
        <w:t>投标函</w:t>
      </w:r>
    </w:p>
    <w:p>
      <w:pPr>
        <w:spacing w:afterLines="0"/>
        <w:rPr>
          <w:rFonts w:cs="Arial"/>
        </w:rPr>
      </w:pPr>
    </w:p>
    <w:p>
      <w:pPr>
        <w:adjustRightInd w:val="0"/>
        <w:snapToGrid w:val="0"/>
        <w:spacing w:after="60" w:line="360" w:lineRule="auto"/>
        <w:ind w:firstLine="420" w:firstLineChars="200"/>
        <w:rPr>
          <w:rFonts w:ascii="宋体"/>
          <w:szCs w:val="21"/>
        </w:rPr>
      </w:pPr>
      <w:r>
        <w:rPr>
          <w:rFonts w:hint="eastAsia" w:ascii="宋体" w:hAnsi="宋体"/>
          <w:szCs w:val="21"/>
          <w:u w:val="single"/>
        </w:rPr>
        <w:t>致：深圳高星项目管理有限公司</w:t>
      </w:r>
      <w:r>
        <w:rPr>
          <w:rFonts w:hint="eastAsia" w:ascii="宋体" w:hAnsi="宋体"/>
          <w:szCs w:val="21"/>
        </w:rPr>
        <w:t>：</w:t>
      </w:r>
    </w:p>
    <w:p>
      <w:pPr>
        <w:autoSpaceDE w:val="0"/>
        <w:autoSpaceDN w:val="0"/>
        <w:adjustRightInd w:val="0"/>
        <w:spacing w:after="60" w:line="360" w:lineRule="auto"/>
        <w:ind w:right="246" w:firstLine="420" w:firstLineChars="200"/>
        <w:rPr>
          <w:rFonts w:ascii="宋体"/>
          <w:kern w:val="0"/>
          <w:szCs w:val="21"/>
        </w:rPr>
      </w:pPr>
      <w:r>
        <w:rPr>
          <w:rFonts w:hint="eastAsia" w:ascii="宋体" w:hAnsi="宋体"/>
          <w:kern w:val="0"/>
          <w:szCs w:val="21"/>
        </w:rPr>
        <w:t>依据贵方</w:t>
      </w:r>
      <w:r>
        <w:rPr>
          <w:rFonts w:hint="eastAsia" w:ascii="宋体" w:hAnsi="宋体"/>
          <w:szCs w:val="21"/>
        </w:rPr>
        <w:t>采购的</w:t>
      </w:r>
      <w:r>
        <w:rPr>
          <w:rFonts w:hint="eastAsia" w:ascii="宋体" w:hAnsi="宋体"/>
          <w:szCs w:val="21"/>
          <w:u w:val="single"/>
        </w:rPr>
        <w:t xml:space="preserve">（项目名称：  ）（项目编号：  </w:t>
      </w:r>
      <w:r>
        <w:rPr>
          <w:rFonts w:ascii="宋体" w:hAnsi="宋体"/>
          <w:szCs w:val="21"/>
          <w:u w:val="single"/>
        </w:rPr>
        <w:t>)</w:t>
      </w:r>
      <w:r>
        <w:rPr>
          <w:rFonts w:hint="eastAsia" w:ascii="宋体" w:hAnsi="宋体"/>
          <w:szCs w:val="21"/>
          <w:u w:val="single"/>
        </w:rPr>
        <w:t>（包号：  ）</w:t>
      </w:r>
      <w:r>
        <w:rPr>
          <w:rFonts w:hint="eastAsia" w:ascii="宋体" w:hAnsi="宋体"/>
          <w:kern w:val="0"/>
          <w:szCs w:val="21"/>
        </w:rPr>
        <w:t>项目招标采购货物及服务的投标邀请，</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r>
        <w:rPr>
          <w:rFonts w:hint="eastAsia" w:ascii="宋体" w:hAnsi="宋体"/>
          <w:kern w:val="0"/>
          <w:szCs w:val="21"/>
        </w:rPr>
        <w:t>：</w:t>
      </w:r>
    </w:p>
    <w:p>
      <w:pPr>
        <w:spacing w:afterLines="0" w:line="360" w:lineRule="auto"/>
        <w:ind w:firstLine="420" w:firstLineChars="200"/>
        <w:rPr>
          <w:rFonts w:ascii="宋体"/>
          <w:szCs w:val="21"/>
        </w:rPr>
      </w:pPr>
      <w:r>
        <w:rPr>
          <w:rFonts w:ascii="宋体" w:hAnsi="宋体"/>
          <w:szCs w:val="21"/>
        </w:rPr>
        <w:t>1.</w:t>
      </w:r>
      <w:r>
        <w:rPr>
          <w:rFonts w:hint="eastAsia" w:ascii="宋体" w:hAnsi="宋体"/>
          <w:szCs w:val="21"/>
        </w:rPr>
        <w:t>同意并接受招标文件及有关文件的各项要求，遵守招标文件中的各项规定，并严格按照招标文件的规定履行全部责任和义务。</w:t>
      </w:r>
    </w:p>
    <w:p>
      <w:pPr>
        <w:spacing w:afterLines="0" w:line="360" w:lineRule="auto"/>
        <w:ind w:firstLine="420" w:firstLineChars="200"/>
        <w:rPr>
          <w:rFonts w:ascii="宋体"/>
          <w:szCs w:val="21"/>
        </w:rPr>
      </w:pPr>
      <w:r>
        <w:rPr>
          <w:rFonts w:ascii="宋体" w:hAnsi="宋体"/>
          <w:szCs w:val="21"/>
        </w:rPr>
        <w:t>2.</w:t>
      </w:r>
      <w:r>
        <w:rPr>
          <w:rFonts w:hint="eastAsia" w:cs="Arial" w:asciiTheme="minorEastAsia" w:hAnsiTheme="minorEastAsia" w:eastAsiaTheme="minorEastAsia"/>
        </w:rPr>
        <w:t>我单位同意本投标文件的投标有效期从提交投标文件的截止之日起</w:t>
      </w:r>
      <w:r>
        <w:rPr>
          <w:rFonts w:hint="eastAsia" w:cs="Arial" w:asciiTheme="minorEastAsia" w:hAnsiTheme="minorEastAsia" w:eastAsiaTheme="minorEastAsia"/>
          <w:u w:val="single"/>
        </w:rPr>
        <w:t>120</w:t>
      </w:r>
      <w:r>
        <w:rPr>
          <w:rFonts w:hint="eastAsia" w:cs="Arial" w:asciiTheme="minorEastAsia" w:hAnsiTheme="minorEastAsia" w:eastAsiaTheme="minorEastAsia"/>
        </w:rPr>
        <w:t>日历日内有效。如果我单位的投标被接受，则直至合同生效时止，本投标始终有效并不撤回已递交的投标文件</w:t>
      </w:r>
      <w:r>
        <w:rPr>
          <w:rFonts w:hint="eastAsia" w:asciiTheme="minorEastAsia" w:hAnsiTheme="minorEastAsia" w:eastAsiaTheme="minorEastAsia"/>
          <w:szCs w:val="21"/>
        </w:rPr>
        <w:t>。</w:t>
      </w:r>
    </w:p>
    <w:p>
      <w:pPr>
        <w:spacing w:afterLines="0" w:line="360" w:lineRule="auto"/>
        <w:ind w:firstLine="420" w:firstLineChars="200"/>
        <w:rPr>
          <w:rFonts w:ascii="宋体"/>
          <w:szCs w:val="21"/>
        </w:rPr>
      </w:pPr>
      <w:r>
        <w:rPr>
          <w:rFonts w:ascii="宋体" w:hAnsi="宋体"/>
          <w:szCs w:val="21"/>
        </w:rPr>
        <w:t>3.</w:t>
      </w:r>
      <w:r>
        <w:rPr>
          <w:rFonts w:hint="eastAsia" w:cs="Arial"/>
        </w:rPr>
        <w:t>如果在规定的开标时间后，我方在投标有效期内撤回投标，本投标保证金将被贵方没收。</w:t>
      </w:r>
    </w:p>
    <w:p>
      <w:pPr>
        <w:spacing w:afterLines="0" w:line="360" w:lineRule="auto"/>
        <w:ind w:firstLine="420" w:firstLineChars="200"/>
        <w:rPr>
          <w:rFonts w:ascii="宋体"/>
          <w:szCs w:val="21"/>
        </w:rPr>
      </w:pPr>
      <w:r>
        <w:rPr>
          <w:rFonts w:ascii="宋体" w:hAnsi="宋体"/>
          <w:szCs w:val="21"/>
        </w:rPr>
        <w:t>4.</w:t>
      </w:r>
      <w:r>
        <w:rPr>
          <w:rFonts w:hint="eastAsia" w:ascii="宋体" w:hAnsi="宋体"/>
          <w:szCs w:val="21"/>
        </w:rPr>
        <w:t>我方已经详细地阅读了全部招标文件及其附件，包括澄清及参考文件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。我方已完全清晰理解招标文件的要求，不存在任何含糊不清和误解之处，同意放弃对这些文件所提出的异议和质疑的权利。</w:t>
      </w:r>
    </w:p>
    <w:p>
      <w:pPr>
        <w:spacing w:afterLines="0" w:line="360" w:lineRule="auto"/>
        <w:ind w:firstLine="420" w:firstLineChars="200"/>
        <w:rPr>
          <w:rFonts w:ascii="宋体"/>
          <w:szCs w:val="21"/>
        </w:rPr>
      </w:pPr>
      <w:r>
        <w:rPr>
          <w:rFonts w:ascii="宋体" w:hAnsi="宋体"/>
          <w:szCs w:val="21"/>
        </w:rPr>
        <w:t>5.</w:t>
      </w:r>
      <w:r>
        <w:rPr>
          <w:rFonts w:hint="eastAsia" w:ascii="宋体" w:hAnsi="宋体"/>
          <w:szCs w:val="21"/>
        </w:rPr>
        <w:t>我方已毫无保留地向贵方提供一切所需的证明材料。</w:t>
      </w:r>
    </w:p>
    <w:p>
      <w:pPr>
        <w:spacing w:afterLines="0" w:line="360" w:lineRule="auto"/>
        <w:ind w:firstLine="420" w:firstLineChars="200"/>
        <w:rPr>
          <w:rFonts w:ascii="宋体"/>
          <w:szCs w:val="21"/>
        </w:rPr>
      </w:pPr>
      <w:r>
        <w:rPr>
          <w:rFonts w:hint="eastAsia" w:ascii="宋体" w:hAnsi="宋体"/>
          <w:szCs w:val="21"/>
        </w:rPr>
        <w:t>6.</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0" w:line="360" w:lineRule="auto"/>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我方完全服从和尊重评委会所作的评定结果，同时清楚理解到报价最低并非意味着必定获得中标资格。</w:t>
      </w:r>
    </w:p>
    <w:p>
      <w:pPr>
        <w:spacing w:afterLines="0" w:line="360" w:lineRule="auto"/>
        <w:ind w:firstLine="420" w:firstLineChars="200"/>
        <w:rPr>
          <w:rFonts w:ascii="宋体" w:hAnsi="宋体"/>
        </w:rPr>
      </w:pPr>
      <w:r>
        <w:rPr>
          <w:rFonts w:hint="eastAsia" w:ascii="宋体" w:hAnsi="宋体"/>
          <w:szCs w:val="21"/>
        </w:rPr>
        <w:t>8.</w:t>
      </w:r>
      <w:r>
        <w:rPr>
          <w:rFonts w:hint="eastAsia" w:ascii="宋体" w:hAnsi="宋体"/>
        </w:rPr>
        <w:t>如果我单位未对招标文件全部要求作出实质性响应，则完全同意并接受按无效投标处理。</w:t>
      </w:r>
    </w:p>
    <w:p>
      <w:pPr>
        <w:spacing w:afterLines="0" w:line="360" w:lineRule="auto"/>
        <w:ind w:firstLine="420" w:firstLineChars="200"/>
        <w:rPr>
          <w:rFonts w:ascii="宋体"/>
          <w:szCs w:val="21"/>
        </w:rPr>
      </w:pPr>
      <w:r>
        <w:rPr>
          <w:rFonts w:hint="eastAsia" w:ascii="宋体" w:hAnsi="宋体"/>
        </w:rPr>
        <w:t>9.我单位是依法注册的法人，在法律、财务及运作上完全独立于本项目采购人、用户单位（如有）和采购代理机构。</w:t>
      </w:r>
    </w:p>
    <w:p>
      <w:pPr>
        <w:spacing w:afterLines="0" w:line="360" w:lineRule="auto"/>
        <w:ind w:firstLine="420" w:firstLineChars="200"/>
        <w:rPr>
          <w:rFonts w:ascii="宋体"/>
          <w:szCs w:val="21"/>
        </w:rPr>
      </w:pPr>
      <w:r>
        <w:rPr>
          <w:rFonts w:hint="eastAsia" w:ascii="宋体" w:hAnsi="宋体"/>
          <w:szCs w:val="21"/>
        </w:rPr>
        <w:t>10</w:t>
      </w:r>
      <w:r>
        <w:rPr>
          <w:rFonts w:ascii="宋体" w:hAnsi="宋体"/>
          <w:szCs w:val="21"/>
        </w:rPr>
        <w:t>.</w:t>
      </w:r>
      <w:r>
        <w:rPr>
          <w:rFonts w:hint="eastAsia" w:ascii="宋体" w:hAnsi="宋体"/>
          <w:szCs w:val="21"/>
        </w:rPr>
        <w:t>我方同意按招标文件规定向招标代理机构缴纳</w:t>
      </w:r>
      <w:r>
        <w:rPr>
          <w:rFonts w:hint="eastAsia" w:ascii="宋体" w:hAnsi="宋体"/>
          <w:szCs w:val="21"/>
          <w:lang w:val="en-GB"/>
        </w:rPr>
        <w:t>招标代理</w:t>
      </w:r>
      <w:r>
        <w:rPr>
          <w:rFonts w:hint="eastAsia" w:ascii="宋体" w:hAnsi="宋体"/>
          <w:szCs w:val="21"/>
        </w:rPr>
        <w:t>服务费。</w:t>
      </w:r>
    </w:p>
    <w:p>
      <w:pPr>
        <w:tabs>
          <w:tab w:val="left" w:pos="851"/>
        </w:tabs>
        <w:snapToGrid w:val="0"/>
        <w:spacing w:afterLines="0" w:line="360" w:lineRule="auto"/>
        <w:ind w:firstLine="420" w:firstLineChars="200"/>
        <w:rPr>
          <w:rFonts w:cs="Arial"/>
        </w:rPr>
      </w:pPr>
      <w:r>
        <w:rPr>
          <w:rFonts w:hint="eastAsia" w:cs="Arial"/>
        </w:rPr>
        <w:t>地址：</w:t>
      </w:r>
    </w:p>
    <w:p>
      <w:pPr>
        <w:spacing w:afterLines="0" w:line="360" w:lineRule="auto"/>
        <w:ind w:firstLine="420" w:firstLineChars="200"/>
        <w:rPr>
          <w:rFonts w:cs="Arial"/>
          <w:u w:val="single"/>
        </w:rPr>
      </w:pPr>
      <w:r>
        <w:rPr>
          <w:rFonts w:hint="eastAsia" w:cs="Arial"/>
        </w:rPr>
        <w:t>电话：</w:t>
      </w:r>
    </w:p>
    <w:p>
      <w:pPr>
        <w:spacing w:afterLines="0" w:line="360" w:lineRule="auto"/>
        <w:ind w:firstLine="420" w:firstLineChars="200"/>
        <w:rPr>
          <w:rFonts w:cs="Arial"/>
          <w:u w:val="single"/>
        </w:rPr>
      </w:pPr>
      <w:r>
        <w:rPr>
          <w:rFonts w:hint="eastAsia" w:cs="Arial"/>
        </w:rPr>
        <w:t>传真：</w:t>
      </w:r>
    </w:p>
    <w:p>
      <w:pPr>
        <w:spacing w:afterLines="0" w:line="360" w:lineRule="auto"/>
        <w:ind w:firstLine="420" w:firstLineChars="200"/>
        <w:rPr>
          <w:rFonts w:cs="Arial"/>
        </w:rPr>
      </w:pPr>
      <w:r>
        <w:rPr>
          <w:rFonts w:hint="eastAsia" w:cs="Arial"/>
        </w:rPr>
        <w:t>电子函件：</w:t>
      </w:r>
    </w:p>
    <w:p>
      <w:pPr>
        <w:spacing w:afterLines="0" w:line="360" w:lineRule="auto"/>
        <w:ind w:firstLine="420" w:firstLineChars="200"/>
        <w:rPr>
          <w:rFonts w:cs="Arial"/>
        </w:rPr>
      </w:pPr>
      <w:r>
        <w:rPr>
          <w:rFonts w:hint="eastAsia" w:cs="Arial"/>
        </w:rPr>
        <w:t>投标人代表：</w:t>
      </w:r>
    </w:p>
    <w:p>
      <w:pPr>
        <w:spacing w:afterLines="0" w:line="360" w:lineRule="auto"/>
        <w:ind w:firstLine="420" w:firstLineChars="200"/>
        <w:rPr>
          <w:rFonts w:cs="Arial"/>
          <w:u w:val="single"/>
        </w:rPr>
      </w:pPr>
      <w:r>
        <w:rPr>
          <w:rFonts w:hint="eastAsia" w:cs="Arial"/>
        </w:rPr>
        <w:t>投标人名称：</w:t>
      </w:r>
    </w:p>
    <w:p>
      <w:pPr>
        <w:spacing w:afterLines="0" w:line="360" w:lineRule="auto"/>
        <w:ind w:firstLine="420" w:firstLineChars="200"/>
        <w:rPr>
          <w:rFonts w:cs="Arial"/>
          <w:u w:val="single"/>
        </w:rPr>
      </w:pPr>
      <w:r>
        <w:rPr>
          <w:rFonts w:hint="eastAsia" w:cs="Arial"/>
        </w:rPr>
        <w:t>日期：</w:t>
      </w:r>
    </w:p>
    <w:p>
      <w:pPr>
        <w:widowControl/>
        <w:spacing w:afterLines="0" w:line="240" w:lineRule="auto"/>
        <w:jc w:val="left"/>
        <w:rPr>
          <w:rFonts w:ascii="宋体"/>
          <w:szCs w:val="21"/>
        </w:rPr>
      </w:pPr>
      <w:r>
        <w:rPr>
          <w:rFonts w:ascii="宋体"/>
          <w:b/>
          <w:bCs/>
          <w:szCs w:val="21"/>
        </w:rPr>
        <w:br w:type="page"/>
      </w:r>
    </w:p>
    <w:p>
      <w:pPr>
        <w:pStyle w:val="3"/>
        <w:adjustRightInd w:val="0"/>
        <w:spacing w:after="60" w:line="240" w:lineRule="auto"/>
        <w:jc w:val="center"/>
        <w:textAlignment w:val="baseline"/>
        <w:rPr>
          <w:rFonts w:ascii="宋体" w:hAnsi="宋体" w:eastAsia="宋体" w:cs="宋体"/>
          <w:sz w:val="24"/>
          <w:szCs w:val="20"/>
        </w:rPr>
      </w:pPr>
      <w:r>
        <w:rPr>
          <w:rFonts w:ascii="宋体" w:hAnsi="宋体" w:eastAsia="宋体" w:cs="宋体"/>
          <w:sz w:val="24"/>
          <w:szCs w:val="20"/>
        </w:rPr>
        <w:t>2.</w:t>
      </w:r>
      <w:r>
        <w:rPr>
          <w:rFonts w:hint="eastAsia" w:ascii="宋体" w:hAnsi="宋体" w:eastAsia="宋体" w:cs="宋体"/>
          <w:sz w:val="24"/>
        </w:rPr>
        <w:t>政府采购投标及履约承诺函</w:t>
      </w:r>
    </w:p>
    <w:p>
      <w:pPr>
        <w:spacing w:after="60"/>
        <w:rPr>
          <w:rFonts w:ascii="宋体"/>
          <w:szCs w:val="21"/>
        </w:rPr>
      </w:pPr>
    </w:p>
    <w:p>
      <w:pPr>
        <w:spacing w:after="60"/>
        <w:rPr>
          <w:rFonts w:ascii="宋体"/>
          <w:szCs w:val="21"/>
        </w:rPr>
      </w:pPr>
      <w:r>
        <w:rPr>
          <w:rFonts w:hint="eastAsia" w:ascii="宋体" w:hAnsi="宋体"/>
          <w:szCs w:val="21"/>
        </w:rPr>
        <w:t>致：</w:t>
      </w:r>
      <w:r>
        <w:rPr>
          <w:rFonts w:hint="eastAsia" w:ascii="宋体" w:hAnsi="宋体"/>
          <w:szCs w:val="21"/>
          <w:u w:val="single"/>
        </w:rPr>
        <w:t>深圳高星项目管理有限公司</w:t>
      </w:r>
    </w:p>
    <w:p>
      <w:pPr>
        <w:spacing w:after="60"/>
        <w:ind w:firstLine="540"/>
        <w:rPr>
          <w:rFonts w:ascii="宋体"/>
          <w:szCs w:val="21"/>
        </w:rPr>
      </w:pPr>
      <w:r>
        <w:rPr>
          <w:rFonts w:hint="eastAsia" w:ascii="宋体" w:hAnsi="宋体"/>
          <w:szCs w:val="21"/>
        </w:rPr>
        <w:t>我单位承诺：</w:t>
      </w:r>
    </w:p>
    <w:p>
      <w:pPr>
        <w:spacing w:after="60" w:line="360" w:lineRule="auto"/>
        <w:ind w:firstLine="495" w:firstLineChars="236"/>
        <w:jc w:val="left"/>
        <w:rPr>
          <w:rFonts w:ascii="宋体" w:hAnsi="宋体"/>
          <w:szCs w:val="21"/>
        </w:rPr>
      </w:pPr>
      <w:r>
        <w:rPr>
          <w:rFonts w:hint="eastAsia" w:ascii="宋体" w:hAnsi="宋体"/>
          <w:szCs w:val="21"/>
        </w:rPr>
        <w:t>1.对本招标项目所提供的服务未侵犯知识产权。</w:t>
      </w:r>
    </w:p>
    <w:p>
      <w:pPr>
        <w:spacing w:after="60" w:line="360" w:lineRule="auto"/>
        <w:ind w:firstLine="495" w:firstLineChars="236"/>
        <w:jc w:val="left"/>
        <w:rPr>
          <w:rFonts w:ascii="宋体" w:hAnsi="宋体"/>
          <w:szCs w:val="21"/>
        </w:rPr>
      </w:pPr>
      <w:r>
        <w:rPr>
          <w:rFonts w:hint="eastAsia" w:ascii="宋体" w:hAnsi="宋体"/>
          <w:szCs w:val="21"/>
        </w:rPr>
        <w:t>2.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spacing w:after="60" w:line="360" w:lineRule="auto"/>
        <w:ind w:firstLine="495" w:firstLineChars="236"/>
        <w:jc w:val="left"/>
        <w:rPr>
          <w:rFonts w:ascii="宋体" w:hAnsi="宋体"/>
          <w:szCs w:val="21"/>
        </w:rPr>
      </w:pPr>
      <w:r>
        <w:rPr>
          <w:rFonts w:hint="eastAsia" w:ascii="宋体" w:hAnsi="宋体"/>
          <w:szCs w:val="21"/>
        </w:rPr>
        <w:t>3.如果中标，做到守信，不偷工减料，依照本项目招标文件需求内容、签署的采购合同及本公司在投标中所作的一切承诺履约。项目验收达到全部指标合格，力争优良。</w:t>
      </w:r>
    </w:p>
    <w:p>
      <w:pPr>
        <w:spacing w:after="60" w:line="360" w:lineRule="auto"/>
        <w:ind w:firstLine="495" w:firstLineChars="236"/>
        <w:jc w:val="left"/>
        <w:rPr>
          <w:rFonts w:ascii="宋体" w:hAnsi="宋体" w:cs="宋体"/>
          <w:kern w:val="0"/>
          <w:szCs w:val="21"/>
        </w:rPr>
      </w:pPr>
      <w:r>
        <w:rPr>
          <w:rFonts w:hint="eastAsia" w:ascii="宋体" w:hAnsi="宋体"/>
          <w:szCs w:val="21"/>
        </w:rPr>
        <w:t>4．</w:t>
      </w:r>
      <w:r>
        <w:rPr>
          <w:rFonts w:hint="eastAsia" w:ascii="宋体" w:hAnsi="宋体" w:cs="宋体"/>
          <w:kern w:val="0"/>
          <w:szCs w:val="21"/>
        </w:rPr>
        <w:t>参与本项目投标前三年内，在经营活动中没有重大违法记录。</w:t>
      </w:r>
    </w:p>
    <w:p>
      <w:pPr>
        <w:spacing w:after="60" w:line="360" w:lineRule="auto"/>
        <w:ind w:firstLine="495" w:firstLineChars="236"/>
        <w:jc w:val="left"/>
        <w:rPr>
          <w:rFonts w:ascii="宋体" w:hAnsi="宋体" w:cs="宋体"/>
          <w:kern w:val="0"/>
          <w:szCs w:val="21"/>
        </w:rPr>
      </w:pPr>
      <w:r>
        <w:rPr>
          <w:rFonts w:hint="eastAsia" w:ascii="宋体" w:hAnsi="宋体" w:cs="宋体"/>
          <w:kern w:val="0"/>
          <w:szCs w:val="21"/>
        </w:rPr>
        <w:t>5.</w:t>
      </w:r>
      <w:r>
        <w:rPr>
          <w:rFonts w:hint="eastAsia" w:cs="宋体" w:asciiTheme="minorEastAsia" w:hAnsiTheme="minorEastAsia" w:eastAsiaTheme="minorEastAsia"/>
          <w:kern w:val="0"/>
          <w:szCs w:val="21"/>
        </w:rPr>
        <w:t>参与本项目政府采购活动时不存在被有关部门禁止参与政府采购活动且在有效期内的情况</w:t>
      </w:r>
      <w:r>
        <w:rPr>
          <w:rFonts w:hint="eastAsia" w:ascii="宋体" w:hAnsi="宋体" w:cs="宋体"/>
          <w:kern w:val="0"/>
          <w:szCs w:val="21"/>
        </w:rPr>
        <w:t>。</w:t>
      </w:r>
    </w:p>
    <w:p>
      <w:pPr>
        <w:spacing w:after="60" w:line="360" w:lineRule="auto"/>
        <w:ind w:firstLine="495" w:firstLineChars="236"/>
        <w:jc w:val="left"/>
      </w:pPr>
      <w:r>
        <w:rPr>
          <w:rFonts w:hint="eastAsia" w:ascii="宋体" w:hAnsi="宋体" w:cs="宋体"/>
          <w:kern w:val="0"/>
          <w:szCs w:val="21"/>
        </w:rPr>
        <w:t>6.参与政府采购项目投标时未被列入失信被执行人、重大税收违法案件当事人名单、政府采购严重违法失信行为记录名单</w:t>
      </w:r>
      <w:r>
        <w:rPr>
          <w:rFonts w:hint="eastAsia"/>
        </w:rPr>
        <w:t>。</w:t>
      </w:r>
    </w:p>
    <w:p>
      <w:pPr>
        <w:spacing w:after="60" w:line="360" w:lineRule="auto"/>
        <w:ind w:firstLine="495" w:firstLineChars="236"/>
        <w:jc w:val="left"/>
        <w:rPr>
          <w:rFonts w:ascii="宋体" w:hAnsi="宋体"/>
        </w:rPr>
      </w:pPr>
      <w:r>
        <w:rPr>
          <w:rFonts w:hint="eastAsia" w:ascii="宋体" w:hAnsi="宋体"/>
        </w:rPr>
        <w:t>7.</w:t>
      </w:r>
      <w:r>
        <w:rPr>
          <w:rFonts w:hint="eastAsia" w:ascii="Times New Roman" w:hAnsi="Times New Roman"/>
          <w:kern w:val="0"/>
          <w:szCs w:val="21"/>
        </w:rPr>
        <w:t xml:space="preserve"> 具备《中华人民共和国政府采购法》第二十二条第一款的条件</w:t>
      </w:r>
      <w:r>
        <w:rPr>
          <w:rFonts w:hint="eastAsia" w:ascii="宋体" w:hAnsi="宋体"/>
        </w:rPr>
        <w:t>。</w:t>
      </w:r>
    </w:p>
    <w:p>
      <w:pPr>
        <w:spacing w:after="60" w:line="360" w:lineRule="auto"/>
        <w:ind w:firstLine="495" w:firstLineChars="236"/>
        <w:jc w:val="left"/>
        <w:rPr>
          <w:rFonts w:ascii="宋体" w:hAnsi="宋体"/>
          <w:szCs w:val="21"/>
        </w:rPr>
      </w:pPr>
      <w:r>
        <w:rPr>
          <w:rFonts w:hint="eastAsia" w:ascii="宋体" w:hAnsi="宋体"/>
        </w:rPr>
        <w:t>8.</w:t>
      </w:r>
      <w:r>
        <w:rPr>
          <w:rFonts w:hint="eastAsia" w:ascii="宋体" w:hAnsi="宋体"/>
          <w:szCs w:val="21"/>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after="60"/>
        <w:ind w:firstLine="540"/>
        <w:rPr>
          <w:rFonts w:ascii="宋体" w:hAnsi="宋体"/>
          <w:szCs w:val="21"/>
        </w:rPr>
      </w:pPr>
      <w:r>
        <w:rPr>
          <w:rFonts w:hint="eastAsia" w:ascii="宋体" w:hAnsi="宋体"/>
          <w:szCs w:val="21"/>
        </w:rPr>
        <w:t>9.我公司承诺不</w:t>
      </w:r>
      <w:r>
        <w:rPr>
          <w:rFonts w:hint="eastAsia" w:ascii="仿宋_GB2312" w:hAnsi="宋体"/>
          <w:bCs/>
          <w:szCs w:val="21"/>
        </w:rPr>
        <w:t>将本项目招标内容以任何方式进行</w:t>
      </w:r>
      <w:r>
        <w:rPr>
          <w:rFonts w:hint="eastAsia" w:ascii="宋体" w:hAnsi="宋体"/>
          <w:szCs w:val="21"/>
        </w:rPr>
        <w:t>非法转包、分包。</w:t>
      </w:r>
    </w:p>
    <w:p>
      <w:pPr>
        <w:spacing w:after="60"/>
        <w:ind w:firstLine="540"/>
        <w:rPr>
          <w:rFonts w:ascii="宋体" w:hAnsi="宋体"/>
          <w:szCs w:val="21"/>
        </w:rPr>
      </w:pPr>
      <w:r>
        <w:rPr>
          <w:rFonts w:hint="eastAsia" w:ascii="宋体"/>
          <w:szCs w:val="21"/>
        </w:rPr>
        <w:t>10.</w:t>
      </w:r>
      <w:r>
        <w:rPr>
          <w:rFonts w:hint="eastAsia" w:ascii="宋体" w:hAnsi="宋体"/>
          <w:szCs w:val="21"/>
        </w:rPr>
        <w:t xml:space="preserve"> 我公司已清楚：单位负责人为同一人或者存在直接控股、管理关系的不同供应商，不得参加同一合同项下的政府采购活动。</w:t>
      </w:r>
    </w:p>
    <w:p>
      <w:pPr>
        <w:spacing w:after="60"/>
        <w:ind w:firstLine="540"/>
        <w:rPr>
          <w:rFonts w:ascii="宋体" w:hAnsi="宋体"/>
          <w:szCs w:val="21"/>
        </w:rPr>
      </w:pPr>
      <w:r>
        <w:rPr>
          <w:rFonts w:hint="eastAsia" w:ascii="宋体" w:hAnsi="宋体"/>
          <w:szCs w:val="21"/>
        </w:rPr>
        <w:t xml:space="preserve"> 11.我公司已清楚：为采购项目提供整体设计、规范编制或者项目管理、监理、检测等服务的供应商，不得再参加该采购项目同一合同项下的其他采购活动。</w:t>
      </w:r>
    </w:p>
    <w:p>
      <w:pPr>
        <w:spacing w:after="60"/>
        <w:ind w:firstLine="540"/>
        <w:rPr>
          <w:rFonts w:ascii="宋体"/>
          <w:szCs w:val="21"/>
        </w:rPr>
      </w:pPr>
    </w:p>
    <w:p>
      <w:pPr>
        <w:spacing w:after="60"/>
        <w:ind w:firstLine="540"/>
        <w:rPr>
          <w:rFonts w:ascii="宋体"/>
          <w:szCs w:val="21"/>
        </w:rPr>
      </w:pPr>
      <w:r>
        <w:rPr>
          <w:rFonts w:hint="eastAsia" w:ascii="宋体" w:hAnsi="宋体"/>
          <w:szCs w:val="21"/>
        </w:rPr>
        <w:t>以上承诺，如有违反，愿依照国家相关法律处理，并承担由此给采购人带来的损失。</w:t>
      </w:r>
    </w:p>
    <w:p>
      <w:pPr>
        <w:spacing w:after="60"/>
        <w:ind w:firstLine="645"/>
        <w:jc w:val="right"/>
        <w:rPr>
          <w:rFonts w:ascii="宋体" w:hAnsi="宋体"/>
          <w:szCs w:val="21"/>
        </w:rPr>
      </w:pPr>
      <w:r>
        <w:rPr>
          <w:rFonts w:hint="eastAsia" w:ascii="宋体" w:hAnsi="宋体"/>
          <w:szCs w:val="21"/>
        </w:rPr>
        <w:t>投标单位名称：</w:t>
      </w:r>
    </w:p>
    <w:p>
      <w:pPr>
        <w:spacing w:after="60"/>
        <w:ind w:firstLine="645"/>
        <w:jc w:val="right"/>
        <w:rPr>
          <w:rFonts w:ascii="宋体"/>
          <w:szCs w:val="21"/>
        </w:rPr>
      </w:pPr>
      <w:r>
        <w:rPr>
          <w:rFonts w:hint="eastAsia" w:ascii="宋体"/>
        </w:rPr>
        <w:t>法定代表人或</w:t>
      </w:r>
      <w:r>
        <w:rPr>
          <w:rFonts w:hint="eastAsia" w:ascii="宋体" w:hAnsi="宋体"/>
        </w:rPr>
        <w:t>投标人授权代表</w:t>
      </w:r>
      <w:r>
        <w:rPr>
          <w:rFonts w:hint="eastAsia"/>
        </w:rPr>
        <w:t>：</w:t>
      </w:r>
    </w:p>
    <w:p>
      <w:pPr>
        <w:pStyle w:val="18"/>
        <w:ind w:firstLine="480" w:firstLineChars="200"/>
        <w:jc w:val="right"/>
        <w:rPr>
          <w:rFonts w:ascii="宋体"/>
          <w:bCs/>
          <w:szCs w:val="21"/>
        </w:rPr>
      </w:pPr>
      <w:r>
        <w:rPr>
          <w:rFonts w:hint="eastAsia" w:ascii="宋体"/>
          <w:bCs/>
          <w:szCs w:val="21"/>
        </w:rPr>
        <w:t>年月日</w:t>
      </w:r>
      <w:r>
        <w:rPr>
          <w:rFonts w:ascii="宋体"/>
          <w:bCs/>
          <w:szCs w:val="21"/>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3</w:t>
      </w:r>
      <w:r>
        <w:rPr>
          <w:rFonts w:ascii="宋体" w:hAnsi="宋体" w:eastAsia="宋体"/>
          <w:sz w:val="24"/>
          <w:szCs w:val="20"/>
        </w:rPr>
        <w:t>.</w:t>
      </w:r>
      <w:r>
        <w:rPr>
          <w:rFonts w:hint="eastAsia" w:ascii="宋体" w:hAnsi="宋体" w:eastAsia="宋体"/>
          <w:sz w:val="24"/>
          <w:szCs w:val="20"/>
        </w:rPr>
        <w:t>关于资格的声明函</w:t>
      </w:r>
    </w:p>
    <w:p>
      <w:pPr>
        <w:spacing w:afterLines="0"/>
        <w:rPr>
          <w:rFonts w:cs="Arial"/>
        </w:rPr>
      </w:pPr>
    </w:p>
    <w:p>
      <w:pPr>
        <w:spacing w:afterLines="0"/>
        <w:rPr>
          <w:rFonts w:cs="Arial"/>
          <w:u w:val="single"/>
        </w:rPr>
      </w:pPr>
      <w:r>
        <w:rPr>
          <w:rFonts w:hint="eastAsia" w:cs="Arial"/>
        </w:rPr>
        <w:t>致：</w:t>
      </w:r>
      <w:r>
        <w:rPr>
          <w:rFonts w:hint="eastAsia" w:cs="Arial"/>
          <w:u w:val="single"/>
        </w:rPr>
        <w:t>（</w:t>
      </w:r>
      <w:r>
        <w:rPr>
          <w:rFonts w:hint="eastAsia" w:ascii="宋体" w:hAnsi="宋体"/>
          <w:szCs w:val="21"/>
          <w:u w:val="single"/>
        </w:rPr>
        <w:t>深圳高星项目管理有限公司</w:t>
      </w:r>
      <w:r>
        <w:rPr>
          <w:rFonts w:hint="eastAsia" w:cs="Arial"/>
          <w:u w:val="single"/>
        </w:rPr>
        <w:t>）</w:t>
      </w:r>
    </w:p>
    <w:p>
      <w:pPr>
        <w:spacing w:afterLines="0"/>
        <w:rPr>
          <w:rFonts w:cs="Arial"/>
        </w:rPr>
      </w:pPr>
    </w:p>
    <w:p>
      <w:pPr>
        <w:spacing w:afterLines="0"/>
        <w:ind w:firstLine="480"/>
        <w:rPr>
          <w:rFonts w:cs="Arial"/>
        </w:rPr>
      </w:pPr>
      <w:r>
        <w:rPr>
          <w:rFonts w:hint="eastAsia" w:cs="Arial"/>
        </w:rPr>
        <w:t>关于贵方组织的</w:t>
      </w:r>
      <w:r>
        <w:rPr>
          <w:rFonts w:hint="eastAsia" w:cs="Arial"/>
          <w:u w:val="single"/>
        </w:rPr>
        <w:t>（项目名称：   ）（招标编号：    ）（包号：   ）</w:t>
      </w:r>
      <w:r>
        <w:rPr>
          <w:rFonts w:hint="eastAsia" w:cs="Arial"/>
        </w:rPr>
        <w:t>项目，本人愿意参加投标，并证明提交的下列文件和说明是准确的和真实的。</w:t>
      </w:r>
    </w:p>
    <w:p>
      <w:pPr>
        <w:spacing w:afterLines="0"/>
        <w:rPr>
          <w:rFonts w:cs="Arial"/>
        </w:rPr>
      </w:pPr>
    </w:p>
    <w:p>
      <w:pPr>
        <w:spacing w:afterLines="0"/>
        <w:ind w:left="44"/>
      </w:pPr>
      <w:r>
        <w:rPr>
          <w:rFonts w:hint="eastAsia"/>
        </w:rPr>
        <w:t>1、营业执照或事业单位法人扫描件一份。</w:t>
      </w:r>
    </w:p>
    <w:p>
      <w:pPr>
        <w:spacing w:afterLines="0"/>
        <w:ind w:left="44"/>
      </w:pPr>
      <w:r>
        <w:rPr>
          <w:rFonts w:hint="eastAsia"/>
        </w:rPr>
        <w:t>2、相关服务条款及服务范围。</w:t>
      </w:r>
    </w:p>
    <w:p>
      <w:pPr>
        <w:spacing w:afterLines="0"/>
        <w:ind w:left="44"/>
      </w:pPr>
      <w:r>
        <w:rPr>
          <w:rFonts w:hint="eastAsia"/>
        </w:rPr>
        <w:t>3、招标文件要求的的资格证明文件。</w:t>
      </w:r>
    </w:p>
    <w:p>
      <w:pPr>
        <w:spacing w:afterLines="0"/>
        <w:ind w:left="44"/>
        <w:rPr>
          <w:rFonts w:cs="Arial"/>
        </w:rPr>
      </w:pPr>
      <w:r>
        <w:rPr>
          <w:rFonts w:hint="eastAsia"/>
        </w:rPr>
        <w:t>4、本人确认资格文件中的说明是真实的、准确的。</w:t>
      </w:r>
    </w:p>
    <w:p>
      <w:pPr>
        <w:spacing w:afterLines="0"/>
        <w:rPr>
          <w:rFonts w:cs="Arial"/>
        </w:rPr>
      </w:pPr>
    </w:p>
    <w:p>
      <w:pPr>
        <w:spacing w:afterLines="0"/>
        <w:rPr>
          <w:rFonts w:cs="Arial"/>
        </w:rPr>
      </w:pPr>
      <w:r>
        <w:rPr>
          <w:rFonts w:hint="eastAsia" w:cs="Arial"/>
        </w:rPr>
        <w:t>单位的名称和地址：</w:t>
      </w:r>
    </w:p>
    <w:p>
      <w:pPr>
        <w:spacing w:afterLines="0"/>
        <w:rPr>
          <w:rFonts w:cs="Arial"/>
        </w:rPr>
      </w:pPr>
      <w:r>
        <w:rPr>
          <w:rFonts w:hint="eastAsia" w:cs="Arial"/>
        </w:rPr>
        <w:t>名称：             法人代表（或负责人）：</w:t>
      </w:r>
    </w:p>
    <w:p>
      <w:pPr>
        <w:spacing w:afterLines="0"/>
        <w:rPr>
          <w:rFonts w:cs="Arial"/>
        </w:rPr>
      </w:pPr>
      <w:r>
        <w:rPr>
          <w:rFonts w:hint="eastAsia" w:cs="Arial"/>
        </w:rPr>
        <w:t>地址：             被授权人姓名、职务：</w:t>
      </w:r>
    </w:p>
    <w:p>
      <w:pPr>
        <w:spacing w:afterLines="0"/>
        <w:rPr>
          <w:rFonts w:cs="Arial"/>
          <w:u w:val="single"/>
        </w:rPr>
      </w:pPr>
      <w:r>
        <w:rPr>
          <w:rFonts w:hint="eastAsia" w:cs="Arial"/>
        </w:rPr>
        <w:t>传真</w:t>
      </w:r>
    </w:p>
    <w:p>
      <w:pPr>
        <w:widowControl/>
        <w:spacing w:afterLines="0" w:line="240" w:lineRule="auto"/>
        <w:jc w:val="left"/>
        <w:rPr>
          <w:rFonts w:cs="Arial"/>
        </w:rPr>
      </w:pPr>
      <w:r>
        <w:rPr>
          <w:rFonts w:hint="eastAsia" w:cs="Arial"/>
        </w:rPr>
        <w:t>邮编：              电话：</w:t>
      </w:r>
    </w:p>
    <w:p>
      <w:pPr>
        <w:widowControl/>
        <w:spacing w:afterLines="0" w:line="240" w:lineRule="auto"/>
        <w:jc w:val="left"/>
        <w:rPr>
          <w:rFonts w:cs="Arial"/>
        </w:rPr>
      </w:pPr>
      <w:r>
        <w:rPr>
          <w:rFonts w:cs="Arial"/>
        </w:rPr>
        <w:br w:type="page"/>
      </w:r>
    </w:p>
    <w:p>
      <w:pPr>
        <w:spacing w:after="60"/>
        <w:rPr>
          <w:rFonts w:ascii="宋体"/>
          <w:kern w:val="0"/>
          <w:sz w:val="24"/>
          <w:szCs w:val="20"/>
        </w:rPr>
        <w:sectPr>
          <w:pgSz w:w="11907" w:h="16840"/>
          <w:pgMar w:top="1440" w:right="1843" w:bottom="1440" w:left="1276" w:header="851" w:footer="698" w:gutter="0"/>
          <w:cols w:space="720" w:num="1"/>
          <w:docGrid w:linePitch="271" w:charSpace="46535"/>
        </w:sectPr>
      </w:pP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4</w:t>
      </w:r>
      <w:r>
        <w:rPr>
          <w:rFonts w:ascii="宋体" w:hAnsi="宋体" w:eastAsia="宋体"/>
          <w:sz w:val="24"/>
          <w:szCs w:val="20"/>
        </w:rPr>
        <w:t>.</w:t>
      </w:r>
      <w:r>
        <w:rPr>
          <w:rFonts w:hint="eastAsia" w:ascii="宋体" w:hAnsi="宋体" w:eastAsia="宋体"/>
          <w:sz w:val="24"/>
          <w:szCs w:val="20"/>
        </w:rPr>
        <w:t>投标一览表</w:t>
      </w:r>
    </w:p>
    <w:p>
      <w:pPr>
        <w:spacing w:afterLines="0"/>
        <w:rPr>
          <w:rFonts w:cs="Arial"/>
        </w:rPr>
      </w:pPr>
    </w:p>
    <w:p>
      <w:pPr>
        <w:spacing w:afterLines="0"/>
        <w:rPr>
          <w:rFonts w:cs="Arial"/>
        </w:rPr>
      </w:pPr>
      <w:r>
        <w:rPr>
          <w:rFonts w:hint="eastAsia" w:cs="Arial"/>
        </w:rPr>
        <w:t>项目名称</w:t>
      </w:r>
      <w:r>
        <w:rPr>
          <w:rFonts w:cs="Arial"/>
        </w:rPr>
        <w:t>__________________</w:t>
      </w:r>
    </w:p>
    <w:p>
      <w:pPr>
        <w:spacing w:afterLines="0"/>
        <w:rPr>
          <w:rFonts w:cs="Arial"/>
        </w:rPr>
      </w:pPr>
      <w:r>
        <w:rPr>
          <w:rFonts w:hint="eastAsia" w:cs="Arial"/>
        </w:rPr>
        <w:t>招标编号</w:t>
      </w:r>
      <w:r>
        <w:rPr>
          <w:rFonts w:cs="Arial"/>
        </w:rPr>
        <w:t>____________________</w:t>
      </w:r>
    </w:p>
    <w:tbl>
      <w:tblPr>
        <w:tblStyle w:val="44"/>
        <w:tblW w:w="900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66"/>
        <w:gridCol w:w="2239"/>
        <w:gridCol w:w="2588"/>
        <w:gridCol w:w="2239"/>
        <w:gridCol w:w="147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82" w:hRule="atLeast"/>
        </w:trPr>
        <w:tc>
          <w:tcPr>
            <w:tcW w:w="466" w:type="dxa"/>
            <w:vAlign w:val="center"/>
          </w:tcPr>
          <w:p>
            <w:pPr>
              <w:spacing w:afterLines="0"/>
              <w:jc w:val="center"/>
              <w:rPr>
                <w:rFonts w:cs="Arial" w:asciiTheme="minorEastAsia" w:hAnsiTheme="minorEastAsia" w:eastAsiaTheme="minorEastAsia"/>
                <w:b/>
              </w:rPr>
            </w:pPr>
            <w:r>
              <w:rPr>
                <w:rFonts w:hint="eastAsia" w:cs="Arial" w:asciiTheme="minorEastAsia" w:hAnsiTheme="minorEastAsia" w:eastAsiaTheme="minorEastAsia"/>
                <w:b/>
              </w:rPr>
              <w:t>包号</w:t>
            </w:r>
          </w:p>
        </w:tc>
        <w:tc>
          <w:tcPr>
            <w:tcW w:w="2239" w:type="dxa"/>
            <w:vAlign w:val="center"/>
          </w:tcPr>
          <w:p>
            <w:pPr>
              <w:spacing w:afterLines="0"/>
              <w:jc w:val="center"/>
              <w:rPr>
                <w:rFonts w:cs="Arial" w:asciiTheme="minorEastAsia" w:hAnsiTheme="minorEastAsia" w:eastAsiaTheme="minorEastAsia"/>
                <w:b/>
              </w:rPr>
            </w:pPr>
            <w:r>
              <w:rPr>
                <w:rFonts w:hint="eastAsia" w:cs="Arial" w:asciiTheme="minorEastAsia" w:hAnsiTheme="minorEastAsia" w:eastAsiaTheme="minorEastAsia"/>
                <w:b/>
              </w:rPr>
              <w:t>项目名称</w:t>
            </w:r>
          </w:p>
        </w:tc>
        <w:tc>
          <w:tcPr>
            <w:tcW w:w="2588" w:type="dxa"/>
            <w:vAlign w:val="bottom"/>
          </w:tcPr>
          <w:p>
            <w:pPr>
              <w:spacing w:afterLines="0"/>
              <w:jc w:val="center"/>
              <w:rPr>
                <w:rFonts w:cs="Arial" w:asciiTheme="minorEastAsia" w:hAnsiTheme="minorEastAsia" w:eastAsiaTheme="minorEastAsia"/>
                <w:b/>
              </w:rPr>
            </w:pPr>
            <w:r>
              <w:rPr>
                <w:rFonts w:hint="eastAsia" w:cs="Arial" w:asciiTheme="minorEastAsia" w:hAnsiTheme="minorEastAsia" w:eastAsiaTheme="minorEastAsia"/>
                <w:b/>
              </w:rPr>
              <w:t>投标总价</w:t>
            </w:r>
          </w:p>
        </w:tc>
        <w:tc>
          <w:tcPr>
            <w:tcW w:w="2239" w:type="dxa"/>
            <w:vAlign w:val="center"/>
          </w:tcPr>
          <w:p>
            <w:pPr>
              <w:spacing w:afterLines="0"/>
              <w:jc w:val="center"/>
              <w:rPr>
                <w:rFonts w:cs="Arial" w:asciiTheme="minorEastAsia" w:hAnsiTheme="minorEastAsia" w:eastAsiaTheme="minorEastAsia"/>
                <w:b/>
              </w:rPr>
            </w:pPr>
            <w:r>
              <w:rPr>
                <w:rFonts w:hint="eastAsia" w:cs="Arial" w:asciiTheme="minorEastAsia" w:hAnsiTheme="minorEastAsia" w:eastAsiaTheme="minorEastAsia"/>
                <w:b/>
              </w:rPr>
              <w:t>服务期限</w:t>
            </w:r>
          </w:p>
        </w:tc>
        <w:tc>
          <w:tcPr>
            <w:tcW w:w="1472" w:type="dxa"/>
            <w:vAlign w:val="center"/>
          </w:tcPr>
          <w:p>
            <w:pPr>
              <w:spacing w:afterLines="0"/>
              <w:jc w:val="center"/>
              <w:rPr>
                <w:rFonts w:cs="Arial" w:asciiTheme="minorEastAsia" w:hAnsiTheme="minorEastAsia" w:eastAsiaTheme="minorEastAsia"/>
                <w:b/>
              </w:rPr>
            </w:pPr>
            <w:r>
              <w:rPr>
                <w:rFonts w:hint="eastAsia" w:cs="Arial" w:asciiTheme="minorEastAsia" w:hAnsiTheme="minorEastAsia" w:eastAsiaTheme="minorEastAsia"/>
                <w:b/>
              </w:rPr>
              <w:t>备注</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22" w:hRule="atLeast"/>
        </w:trPr>
        <w:tc>
          <w:tcPr>
            <w:tcW w:w="466" w:type="dxa"/>
            <w:vMerge w:val="restart"/>
          </w:tcPr>
          <w:p>
            <w:pPr>
              <w:spacing w:afterLines="0"/>
              <w:jc w:val="center"/>
              <w:rPr>
                <w:rFonts w:cs="Arial" w:asciiTheme="minorEastAsia" w:hAnsiTheme="minorEastAsia" w:eastAsiaTheme="minorEastAsia"/>
                <w:sz w:val="28"/>
                <w:szCs w:val="28"/>
              </w:rPr>
            </w:pPr>
          </w:p>
        </w:tc>
        <w:tc>
          <w:tcPr>
            <w:tcW w:w="2239" w:type="dxa"/>
            <w:vMerge w:val="restart"/>
          </w:tcPr>
          <w:p>
            <w:pPr>
              <w:spacing w:afterLines="0"/>
              <w:rPr>
                <w:rFonts w:cs="Arial" w:asciiTheme="minorEastAsia" w:hAnsiTheme="minorEastAsia" w:eastAsiaTheme="minorEastAsia"/>
              </w:rPr>
            </w:pPr>
          </w:p>
        </w:tc>
        <w:tc>
          <w:tcPr>
            <w:tcW w:w="2588" w:type="dxa"/>
            <w:vMerge w:val="restart"/>
          </w:tcPr>
          <w:p>
            <w:pPr>
              <w:spacing w:afterLines="0"/>
              <w:rPr>
                <w:rFonts w:ascii="宋体" w:hAnsi="宋体"/>
                <w:szCs w:val="21"/>
              </w:rPr>
            </w:pPr>
            <w:r>
              <w:rPr>
                <w:rFonts w:hint="eastAsia" w:ascii="宋体" w:hAnsi="宋体"/>
                <w:szCs w:val="21"/>
              </w:rPr>
              <w:t>大写：</w:t>
            </w:r>
          </w:p>
          <w:p>
            <w:pPr>
              <w:spacing w:afterLines="0"/>
              <w:rPr>
                <w:rFonts w:ascii="宋体"/>
                <w:szCs w:val="21"/>
              </w:rPr>
            </w:pPr>
          </w:p>
          <w:p>
            <w:pPr>
              <w:spacing w:afterLines="0"/>
              <w:rPr>
                <w:rFonts w:cs="Arial" w:asciiTheme="minorEastAsia" w:hAnsiTheme="minorEastAsia" w:eastAsiaTheme="minorEastAsia"/>
              </w:rPr>
            </w:pPr>
            <w:r>
              <w:rPr>
                <w:rFonts w:hint="eastAsia" w:ascii="宋体" w:hAnsi="宋体"/>
                <w:szCs w:val="21"/>
              </w:rPr>
              <w:t>小写：</w:t>
            </w:r>
          </w:p>
        </w:tc>
        <w:tc>
          <w:tcPr>
            <w:tcW w:w="2239" w:type="dxa"/>
            <w:vMerge w:val="restart"/>
          </w:tcPr>
          <w:p>
            <w:pPr>
              <w:spacing w:afterLines="0"/>
              <w:rPr>
                <w:rFonts w:cs="Arial" w:asciiTheme="minorEastAsia" w:hAnsiTheme="minorEastAsia" w:eastAsiaTheme="minorEastAsia"/>
              </w:rPr>
            </w:pPr>
          </w:p>
        </w:tc>
        <w:tc>
          <w:tcPr>
            <w:tcW w:w="1472" w:type="dxa"/>
            <w:vMerge w:val="restart"/>
          </w:tcPr>
          <w:p>
            <w:pPr>
              <w:spacing w:afterLines="0"/>
              <w:rPr>
                <w:rFonts w:cs="Arial" w:asciiTheme="minorEastAsia" w:hAnsiTheme="minorEastAsia" w:eastAsiaTheme="minorEastAsia"/>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10" w:hRule="atLeast"/>
        </w:trPr>
        <w:tc>
          <w:tcPr>
            <w:tcW w:w="466" w:type="dxa"/>
            <w:vMerge w:val="continue"/>
          </w:tcPr>
          <w:p>
            <w:pPr>
              <w:spacing w:afterLines="0"/>
              <w:jc w:val="center"/>
              <w:rPr>
                <w:rFonts w:cs="Arial" w:asciiTheme="minorEastAsia" w:hAnsiTheme="minorEastAsia" w:eastAsiaTheme="minorEastAsia"/>
                <w:sz w:val="28"/>
                <w:szCs w:val="28"/>
              </w:rPr>
            </w:pPr>
          </w:p>
        </w:tc>
        <w:tc>
          <w:tcPr>
            <w:tcW w:w="2239" w:type="dxa"/>
            <w:vMerge w:val="continue"/>
          </w:tcPr>
          <w:p>
            <w:pPr>
              <w:spacing w:afterLines="0"/>
              <w:rPr>
                <w:rFonts w:cs="Arial" w:asciiTheme="minorEastAsia" w:hAnsiTheme="minorEastAsia" w:eastAsiaTheme="minorEastAsia"/>
              </w:rPr>
            </w:pPr>
          </w:p>
        </w:tc>
        <w:tc>
          <w:tcPr>
            <w:tcW w:w="2588" w:type="dxa"/>
            <w:vMerge w:val="continue"/>
          </w:tcPr>
          <w:p>
            <w:pPr>
              <w:spacing w:afterLines="0"/>
              <w:rPr>
                <w:rFonts w:cs="Arial" w:asciiTheme="minorEastAsia" w:hAnsiTheme="minorEastAsia" w:eastAsiaTheme="minorEastAsia"/>
              </w:rPr>
            </w:pPr>
          </w:p>
        </w:tc>
        <w:tc>
          <w:tcPr>
            <w:tcW w:w="2239" w:type="dxa"/>
            <w:vMerge w:val="continue"/>
          </w:tcPr>
          <w:p>
            <w:pPr>
              <w:spacing w:afterLines="0"/>
              <w:rPr>
                <w:rFonts w:cs="Arial" w:asciiTheme="minorEastAsia" w:hAnsiTheme="minorEastAsia" w:eastAsiaTheme="minorEastAsia"/>
              </w:rPr>
            </w:pPr>
          </w:p>
        </w:tc>
        <w:tc>
          <w:tcPr>
            <w:tcW w:w="1472" w:type="dxa"/>
            <w:vMerge w:val="continue"/>
          </w:tcPr>
          <w:p>
            <w:pPr>
              <w:spacing w:afterLines="0"/>
              <w:rPr>
                <w:rFonts w:asciiTheme="minorEastAsia" w:hAnsiTheme="minorEastAsia" w:eastAsiaTheme="minorEastAsia"/>
                <w:b/>
                <w:bCs/>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62" w:hRule="atLeast"/>
        </w:trPr>
        <w:tc>
          <w:tcPr>
            <w:tcW w:w="466" w:type="dxa"/>
            <w:vMerge w:val="continue"/>
          </w:tcPr>
          <w:p>
            <w:pPr>
              <w:spacing w:afterLines="0"/>
              <w:jc w:val="center"/>
              <w:rPr>
                <w:rFonts w:cs="Arial" w:asciiTheme="minorEastAsia" w:hAnsiTheme="minorEastAsia" w:eastAsiaTheme="minorEastAsia"/>
                <w:sz w:val="28"/>
                <w:szCs w:val="28"/>
              </w:rPr>
            </w:pPr>
          </w:p>
        </w:tc>
        <w:tc>
          <w:tcPr>
            <w:tcW w:w="2239" w:type="dxa"/>
            <w:vMerge w:val="continue"/>
          </w:tcPr>
          <w:p>
            <w:pPr>
              <w:spacing w:afterLines="0"/>
              <w:rPr>
                <w:rFonts w:cs="Arial" w:asciiTheme="minorEastAsia" w:hAnsiTheme="minorEastAsia" w:eastAsiaTheme="minorEastAsia"/>
              </w:rPr>
            </w:pPr>
          </w:p>
        </w:tc>
        <w:tc>
          <w:tcPr>
            <w:tcW w:w="2588" w:type="dxa"/>
            <w:vMerge w:val="continue"/>
          </w:tcPr>
          <w:p>
            <w:pPr>
              <w:spacing w:afterLines="0"/>
              <w:rPr>
                <w:rFonts w:cs="Arial" w:asciiTheme="minorEastAsia" w:hAnsiTheme="minorEastAsia" w:eastAsiaTheme="minorEastAsia"/>
              </w:rPr>
            </w:pPr>
          </w:p>
        </w:tc>
        <w:tc>
          <w:tcPr>
            <w:tcW w:w="2239" w:type="dxa"/>
            <w:vMerge w:val="continue"/>
          </w:tcPr>
          <w:p>
            <w:pPr>
              <w:spacing w:afterLines="0"/>
              <w:rPr>
                <w:rFonts w:cs="Arial" w:asciiTheme="minorEastAsia" w:hAnsiTheme="minorEastAsia" w:eastAsiaTheme="minorEastAsia"/>
              </w:rPr>
            </w:pPr>
          </w:p>
        </w:tc>
        <w:tc>
          <w:tcPr>
            <w:tcW w:w="1472" w:type="dxa"/>
            <w:vMerge w:val="continue"/>
          </w:tcPr>
          <w:p>
            <w:pPr>
              <w:spacing w:afterLines="0"/>
              <w:rPr>
                <w:rFonts w:asciiTheme="minorEastAsia" w:hAnsiTheme="minorEastAsia" w:eastAsiaTheme="minorEastAsia"/>
                <w:b/>
                <w:bCs/>
                <w:szCs w:val="21"/>
              </w:rPr>
            </w:pPr>
          </w:p>
        </w:tc>
      </w:tr>
    </w:tbl>
    <w:p>
      <w:pPr>
        <w:spacing w:afterLines="0"/>
        <w:rPr>
          <w:rFonts w:cs="Arial"/>
        </w:rPr>
      </w:pPr>
    </w:p>
    <w:p>
      <w:pPr>
        <w:spacing w:afterLines="0"/>
        <w:rPr>
          <w:rFonts w:cs="Arial"/>
        </w:rPr>
      </w:pPr>
      <w:r>
        <w:rPr>
          <w:rFonts w:hint="eastAsia" w:ascii="宋体"/>
        </w:rPr>
        <w:t>法定代表人或</w:t>
      </w:r>
      <w:r>
        <w:rPr>
          <w:rFonts w:hint="eastAsia" w:ascii="宋体" w:hAnsi="宋体"/>
        </w:rPr>
        <w:t>投标人授权代表：</w:t>
      </w:r>
    </w:p>
    <w:p>
      <w:pPr>
        <w:spacing w:afterLines="0"/>
        <w:rPr>
          <w:rFonts w:cs="Arial"/>
        </w:rPr>
      </w:pPr>
      <w:r>
        <w:rPr>
          <w:rFonts w:hint="eastAsia"/>
          <w:spacing w:val="4"/>
        </w:rPr>
        <w:t>投标人名称</w:t>
      </w:r>
      <w:r>
        <w:rPr>
          <w:rFonts w:hint="eastAsia" w:cs="Arial"/>
        </w:rPr>
        <w:t>：</w:t>
      </w:r>
    </w:p>
    <w:p>
      <w:pPr>
        <w:spacing w:afterLines="0"/>
        <w:rPr>
          <w:rFonts w:cs="Arial"/>
        </w:rPr>
      </w:pPr>
      <w:r>
        <w:rPr>
          <w:rFonts w:hint="eastAsia" w:cs="Arial"/>
        </w:rPr>
        <w:t>日期：  年  月  日</w:t>
      </w:r>
    </w:p>
    <w:p>
      <w:pPr>
        <w:spacing w:afterLines="0"/>
        <w:rPr>
          <w:rFonts w:cs="Arial"/>
        </w:rPr>
      </w:pPr>
    </w:p>
    <w:p>
      <w:pPr>
        <w:spacing w:afterLines="0"/>
        <w:rPr>
          <w:rFonts w:ascii="宋体"/>
          <w:b/>
          <w:bCs/>
          <w:szCs w:val="21"/>
        </w:rPr>
      </w:pPr>
      <w:r>
        <w:rPr>
          <w:rFonts w:hint="eastAsia" w:ascii="宋体" w:hAnsi="宋体"/>
          <w:b/>
          <w:bCs/>
          <w:szCs w:val="21"/>
        </w:rPr>
        <w:t>★备注：</w:t>
      </w:r>
    </w:p>
    <w:p>
      <w:pPr>
        <w:spacing w:afterLines="0"/>
        <w:rPr>
          <w:rFonts w:ascii="宋体"/>
          <w:b/>
          <w:bCs/>
          <w:szCs w:val="21"/>
        </w:rPr>
      </w:pPr>
      <w:r>
        <w:rPr>
          <w:rFonts w:ascii="宋体" w:hAnsi="宋体"/>
          <w:b/>
          <w:bCs/>
          <w:szCs w:val="21"/>
        </w:rPr>
        <w:t>1</w:t>
      </w:r>
      <w:r>
        <w:rPr>
          <w:rFonts w:hint="eastAsia" w:ascii="宋体" w:hAnsi="宋体"/>
          <w:b/>
          <w:bCs/>
          <w:szCs w:val="21"/>
        </w:rPr>
        <w:t>、投标总价超出预算控制金额或漏报将作投标无效处理。</w:t>
      </w:r>
    </w:p>
    <w:p>
      <w:pPr>
        <w:spacing w:afterLines="0"/>
        <w:rPr>
          <w:rFonts w:ascii="宋体"/>
          <w:b/>
          <w:bCs/>
          <w:szCs w:val="21"/>
        </w:rPr>
      </w:pPr>
      <w:r>
        <w:rPr>
          <w:rFonts w:ascii="宋体" w:hAnsi="宋体"/>
          <w:b/>
          <w:bCs/>
          <w:szCs w:val="21"/>
        </w:rPr>
        <w:t>2</w:t>
      </w:r>
      <w:r>
        <w:rPr>
          <w:rFonts w:hint="eastAsia" w:ascii="宋体" w:hAnsi="宋体"/>
          <w:b/>
          <w:bCs/>
          <w:szCs w:val="21"/>
        </w:rPr>
        <w:t>、上表《投标一览表》中的投标总价和投标书编制软件中的《开标一览表》中的投标总价</w:t>
      </w:r>
      <w:r>
        <w:rPr>
          <w:rFonts w:ascii="宋体" w:hAnsi="宋体"/>
          <w:b/>
          <w:bCs/>
          <w:szCs w:val="21"/>
        </w:rPr>
        <w:t>(</w:t>
      </w:r>
      <w:r>
        <w:rPr>
          <w:rFonts w:hint="eastAsia" w:ascii="宋体" w:hAnsi="宋体"/>
          <w:b/>
          <w:bCs/>
          <w:szCs w:val="21"/>
        </w:rPr>
        <w:t>或总价</w:t>
      </w:r>
      <w:r>
        <w:rPr>
          <w:rFonts w:ascii="宋体" w:hAnsi="宋体"/>
          <w:b/>
          <w:bCs/>
          <w:szCs w:val="21"/>
        </w:rPr>
        <w:t>)</w:t>
      </w:r>
      <w:r>
        <w:rPr>
          <w:rFonts w:hint="eastAsia" w:ascii="宋体" w:hAnsi="宋体"/>
          <w:b/>
          <w:bCs/>
          <w:szCs w:val="21"/>
        </w:rPr>
        <w:t>必须填报一致，否则作投标无效处理。</w:t>
      </w:r>
    </w:p>
    <w:p>
      <w:pPr>
        <w:spacing w:afterLines="0"/>
        <w:rPr>
          <w:rFonts w:ascii="宋体" w:hAnsi="宋体"/>
          <w:b/>
          <w:bCs/>
          <w:szCs w:val="21"/>
        </w:rPr>
      </w:pPr>
      <w:r>
        <w:rPr>
          <w:rFonts w:ascii="宋体" w:hAnsi="宋体"/>
          <w:b/>
          <w:bCs/>
          <w:szCs w:val="21"/>
        </w:rPr>
        <w:t>3</w:t>
      </w:r>
      <w:r>
        <w:rPr>
          <w:rFonts w:hint="eastAsia" w:ascii="宋体" w:hAnsi="宋体"/>
          <w:b/>
          <w:bCs/>
          <w:szCs w:val="21"/>
        </w:rPr>
        <w:t>、以上各项报价最多保留至小数点后两位。</w:t>
      </w:r>
    </w:p>
    <w:p>
      <w:pPr>
        <w:spacing w:afterLines="0"/>
        <w:rPr>
          <w:rFonts w:ascii="宋体" w:hAnsi="宋体"/>
          <w:b/>
          <w:bCs/>
          <w:szCs w:val="21"/>
        </w:rPr>
      </w:pPr>
    </w:p>
    <w:p>
      <w:pPr>
        <w:spacing w:afterLines="0"/>
        <w:rPr>
          <w:rFonts w:ascii="宋体" w:hAnsi="宋体"/>
          <w:b/>
          <w:bCs/>
          <w:szCs w:val="21"/>
        </w:rPr>
      </w:pP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5.分项报价表</w:t>
      </w:r>
    </w:p>
    <w:p>
      <w:pPr>
        <w:spacing w:afterLines="0"/>
        <w:rPr>
          <w:rFonts w:cs="Arial"/>
        </w:rPr>
      </w:pPr>
      <w:r>
        <w:rPr>
          <w:rFonts w:hint="eastAsia" w:cs="Arial"/>
        </w:rPr>
        <w:t>项目名称</w:t>
      </w:r>
      <w:r>
        <w:rPr>
          <w:rFonts w:cs="Arial"/>
        </w:rPr>
        <w:t>__________________</w:t>
      </w:r>
    </w:p>
    <w:p>
      <w:pPr>
        <w:spacing w:afterLines="0"/>
        <w:rPr>
          <w:rFonts w:cs="Arial"/>
        </w:rPr>
      </w:pPr>
      <w:r>
        <w:rPr>
          <w:rFonts w:hint="eastAsia" w:cs="Arial"/>
        </w:rPr>
        <w:t>招标编号</w:t>
      </w:r>
      <w:r>
        <w:rPr>
          <w:rFonts w:cs="Arial"/>
        </w:rPr>
        <w:t>____________________</w:t>
      </w:r>
    </w:p>
    <w:tbl>
      <w:tblPr>
        <w:tblStyle w:val="4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4563"/>
        <w:gridCol w:w="190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after="60" w:line="360" w:lineRule="auto"/>
              <w:jc w:val="center"/>
              <w:rPr>
                <w:rFonts w:ascii="宋体" w:cs="Arial"/>
                <w:bCs/>
                <w:szCs w:val="21"/>
              </w:rPr>
            </w:pPr>
            <w:r>
              <w:rPr>
                <w:rFonts w:hint="eastAsia" w:ascii="宋体" w:hAnsi="宋体" w:cs="Arial"/>
                <w:bCs/>
                <w:szCs w:val="21"/>
              </w:rPr>
              <w:t>序号</w:t>
            </w:r>
          </w:p>
        </w:tc>
        <w:tc>
          <w:tcPr>
            <w:tcW w:w="4563" w:type="dxa"/>
          </w:tcPr>
          <w:p>
            <w:pPr>
              <w:spacing w:after="60" w:line="360" w:lineRule="auto"/>
              <w:jc w:val="center"/>
              <w:rPr>
                <w:rFonts w:ascii="宋体" w:cs="Arial"/>
                <w:bCs/>
                <w:szCs w:val="21"/>
              </w:rPr>
            </w:pPr>
            <w:r>
              <w:rPr>
                <w:rFonts w:hint="eastAsia" w:ascii="宋体" w:hAnsi="宋体" w:cs="Arial"/>
                <w:bCs/>
                <w:szCs w:val="21"/>
              </w:rPr>
              <w:t>项目内容</w:t>
            </w:r>
          </w:p>
        </w:tc>
        <w:tc>
          <w:tcPr>
            <w:tcW w:w="1903" w:type="dxa"/>
          </w:tcPr>
          <w:p>
            <w:pPr>
              <w:spacing w:after="60" w:line="360" w:lineRule="auto"/>
              <w:jc w:val="center"/>
              <w:rPr>
                <w:rFonts w:ascii="宋体" w:cs="Arial"/>
                <w:bCs/>
                <w:szCs w:val="21"/>
              </w:rPr>
            </w:pPr>
            <w:r>
              <w:rPr>
                <w:rFonts w:hint="eastAsia" w:ascii="宋体" w:hAnsi="宋体" w:cs="Arial"/>
                <w:bCs/>
                <w:szCs w:val="21"/>
              </w:rPr>
              <w:t>投标报价（元）</w:t>
            </w:r>
          </w:p>
        </w:tc>
        <w:tc>
          <w:tcPr>
            <w:tcW w:w="1391" w:type="dxa"/>
          </w:tcPr>
          <w:p>
            <w:pPr>
              <w:spacing w:after="60" w:line="360" w:lineRule="auto"/>
              <w:jc w:val="center"/>
              <w:rPr>
                <w:rFonts w:ascii="宋体" w:cs="Arial"/>
                <w:bCs/>
                <w:szCs w:val="21"/>
              </w:rPr>
            </w:pPr>
            <w:r>
              <w:rPr>
                <w:rFonts w:hint="eastAsia" w:ascii="宋体" w:hAnsi="宋体" w:cs="Arial"/>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after="60" w:line="360" w:lineRule="auto"/>
              <w:jc w:val="center"/>
              <w:rPr>
                <w:rFonts w:ascii="宋体" w:cs="Arial"/>
                <w:bCs/>
                <w:szCs w:val="21"/>
              </w:rPr>
            </w:pPr>
            <w:r>
              <w:rPr>
                <w:rFonts w:ascii="宋体" w:hAnsi="宋体" w:cs="Arial"/>
                <w:bCs/>
                <w:szCs w:val="21"/>
              </w:rPr>
              <w:t>1</w:t>
            </w:r>
          </w:p>
        </w:tc>
        <w:tc>
          <w:tcPr>
            <w:tcW w:w="4563" w:type="dxa"/>
          </w:tcPr>
          <w:p>
            <w:pPr>
              <w:spacing w:after="60" w:line="360" w:lineRule="auto"/>
              <w:jc w:val="center"/>
              <w:rPr>
                <w:rFonts w:ascii="宋体" w:cs="Arial"/>
                <w:bCs/>
                <w:szCs w:val="21"/>
              </w:rPr>
            </w:pPr>
          </w:p>
        </w:tc>
        <w:tc>
          <w:tcPr>
            <w:tcW w:w="1903" w:type="dxa"/>
          </w:tcPr>
          <w:p>
            <w:pPr>
              <w:spacing w:after="60" w:line="360" w:lineRule="auto"/>
              <w:jc w:val="center"/>
              <w:rPr>
                <w:rFonts w:ascii="宋体" w:cs="Arial"/>
                <w:bCs/>
                <w:szCs w:val="21"/>
              </w:rPr>
            </w:pPr>
          </w:p>
        </w:tc>
        <w:tc>
          <w:tcPr>
            <w:tcW w:w="1391" w:type="dxa"/>
          </w:tcPr>
          <w:p>
            <w:pPr>
              <w:spacing w:after="60" w:line="360" w:lineRule="auto"/>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after="60" w:line="360" w:lineRule="auto"/>
              <w:jc w:val="center"/>
              <w:rPr>
                <w:rFonts w:ascii="宋体" w:cs="Arial"/>
                <w:bCs/>
                <w:szCs w:val="21"/>
              </w:rPr>
            </w:pPr>
            <w:r>
              <w:rPr>
                <w:rFonts w:ascii="宋体" w:hAnsi="宋体" w:cs="Arial"/>
                <w:bCs/>
                <w:szCs w:val="21"/>
              </w:rPr>
              <w:t>2</w:t>
            </w:r>
          </w:p>
        </w:tc>
        <w:tc>
          <w:tcPr>
            <w:tcW w:w="4563" w:type="dxa"/>
          </w:tcPr>
          <w:p>
            <w:pPr>
              <w:spacing w:after="60" w:line="360" w:lineRule="auto"/>
              <w:jc w:val="center"/>
              <w:rPr>
                <w:rFonts w:ascii="宋体" w:cs="Arial"/>
                <w:bCs/>
                <w:szCs w:val="21"/>
              </w:rPr>
            </w:pPr>
          </w:p>
        </w:tc>
        <w:tc>
          <w:tcPr>
            <w:tcW w:w="1903" w:type="dxa"/>
          </w:tcPr>
          <w:p>
            <w:pPr>
              <w:spacing w:after="60" w:line="360" w:lineRule="auto"/>
              <w:jc w:val="center"/>
              <w:rPr>
                <w:rFonts w:ascii="宋体" w:cs="Arial"/>
                <w:bCs/>
                <w:szCs w:val="21"/>
              </w:rPr>
            </w:pPr>
          </w:p>
        </w:tc>
        <w:tc>
          <w:tcPr>
            <w:tcW w:w="1391" w:type="dxa"/>
          </w:tcPr>
          <w:p>
            <w:pPr>
              <w:spacing w:after="60" w:line="360" w:lineRule="auto"/>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pacing w:after="60" w:line="360" w:lineRule="auto"/>
              <w:jc w:val="center"/>
              <w:rPr>
                <w:rFonts w:ascii="宋体" w:cs="Arial"/>
                <w:bCs/>
                <w:szCs w:val="21"/>
              </w:rPr>
            </w:pPr>
            <w:r>
              <w:rPr>
                <w:rFonts w:hint="eastAsia" w:ascii="宋体" w:hAnsi="宋体" w:cs="Arial"/>
                <w:bCs/>
                <w:szCs w:val="21"/>
              </w:rPr>
              <w:t>…</w:t>
            </w:r>
          </w:p>
        </w:tc>
        <w:tc>
          <w:tcPr>
            <w:tcW w:w="4563" w:type="dxa"/>
          </w:tcPr>
          <w:p>
            <w:pPr>
              <w:spacing w:after="60" w:line="360" w:lineRule="auto"/>
              <w:jc w:val="center"/>
              <w:rPr>
                <w:rFonts w:ascii="宋体" w:cs="Arial"/>
                <w:bCs/>
                <w:szCs w:val="21"/>
              </w:rPr>
            </w:pPr>
          </w:p>
        </w:tc>
        <w:tc>
          <w:tcPr>
            <w:tcW w:w="1903" w:type="dxa"/>
          </w:tcPr>
          <w:p>
            <w:pPr>
              <w:spacing w:after="60" w:line="360" w:lineRule="auto"/>
              <w:jc w:val="center"/>
              <w:rPr>
                <w:rFonts w:ascii="宋体" w:cs="Arial"/>
                <w:bCs/>
                <w:szCs w:val="21"/>
              </w:rPr>
            </w:pPr>
          </w:p>
        </w:tc>
        <w:tc>
          <w:tcPr>
            <w:tcW w:w="1391" w:type="dxa"/>
          </w:tcPr>
          <w:p>
            <w:pPr>
              <w:spacing w:after="60" w:line="360" w:lineRule="auto"/>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pacing w:after="60" w:line="360" w:lineRule="auto"/>
              <w:jc w:val="center"/>
              <w:rPr>
                <w:rFonts w:ascii="宋体" w:cs="Arial"/>
                <w:bCs/>
                <w:szCs w:val="21"/>
              </w:rPr>
            </w:pPr>
            <w:r>
              <w:rPr>
                <w:rFonts w:hint="eastAsia" w:ascii="宋体" w:hAnsi="宋体" w:cs="Arial"/>
                <w:bCs/>
                <w:szCs w:val="21"/>
              </w:rPr>
              <w:t>…</w:t>
            </w:r>
          </w:p>
        </w:tc>
        <w:tc>
          <w:tcPr>
            <w:tcW w:w="4563" w:type="dxa"/>
          </w:tcPr>
          <w:p>
            <w:pPr>
              <w:spacing w:after="60" w:line="360" w:lineRule="auto"/>
              <w:jc w:val="center"/>
              <w:rPr>
                <w:rFonts w:ascii="宋体" w:cs="Arial"/>
                <w:bCs/>
                <w:szCs w:val="21"/>
              </w:rPr>
            </w:pPr>
          </w:p>
        </w:tc>
        <w:tc>
          <w:tcPr>
            <w:tcW w:w="1903" w:type="dxa"/>
          </w:tcPr>
          <w:p>
            <w:pPr>
              <w:spacing w:after="60" w:line="360" w:lineRule="auto"/>
              <w:jc w:val="center"/>
              <w:rPr>
                <w:rFonts w:ascii="宋体" w:cs="Arial"/>
                <w:bCs/>
                <w:szCs w:val="21"/>
              </w:rPr>
            </w:pPr>
          </w:p>
        </w:tc>
        <w:tc>
          <w:tcPr>
            <w:tcW w:w="1391" w:type="dxa"/>
          </w:tcPr>
          <w:p>
            <w:pPr>
              <w:spacing w:after="60" w:line="360" w:lineRule="auto"/>
              <w:jc w:val="center"/>
              <w:rPr>
                <w:rFonts w:asci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0" w:type="dxa"/>
            <w:gridSpan w:val="2"/>
          </w:tcPr>
          <w:p>
            <w:pPr>
              <w:spacing w:after="60" w:line="360" w:lineRule="auto"/>
              <w:jc w:val="left"/>
              <w:rPr>
                <w:rFonts w:ascii="宋体" w:cs="Arial"/>
                <w:bCs/>
                <w:szCs w:val="21"/>
              </w:rPr>
            </w:pPr>
            <w:r>
              <w:rPr>
                <w:rFonts w:hint="eastAsia" w:ascii="宋体" w:hAnsi="宋体" w:cs="Arial"/>
                <w:bCs/>
                <w:szCs w:val="21"/>
              </w:rPr>
              <w:t>合计（投标总价）（元）：</w:t>
            </w:r>
          </w:p>
        </w:tc>
        <w:tc>
          <w:tcPr>
            <w:tcW w:w="1903" w:type="dxa"/>
          </w:tcPr>
          <w:p>
            <w:pPr>
              <w:spacing w:after="60" w:line="360" w:lineRule="auto"/>
              <w:rPr>
                <w:rFonts w:ascii="宋体" w:cs="Arial"/>
                <w:bCs/>
                <w:szCs w:val="21"/>
              </w:rPr>
            </w:pPr>
          </w:p>
        </w:tc>
        <w:tc>
          <w:tcPr>
            <w:tcW w:w="1391" w:type="dxa"/>
          </w:tcPr>
          <w:p>
            <w:pPr>
              <w:spacing w:after="60" w:line="360" w:lineRule="auto"/>
              <w:rPr>
                <w:rFonts w:ascii="宋体" w:cs="Arial"/>
                <w:bCs/>
                <w:szCs w:val="21"/>
              </w:rPr>
            </w:pPr>
          </w:p>
        </w:tc>
      </w:tr>
    </w:tbl>
    <w:p>
      <w:pPr>
        <w:spacing w:after="60" w:line="360" w:lineRule="auto"/>
        <w:rPr>
          <w:rFonts w:hint="eastAsia" w:eastAsia="宋体"/>
          <w:szCs w:val="21"/>
          <w:lang w:eastAsia="zh-CN"/>
        </w:rPr>
      </w:pPr>
      <w:r>
        <w:rPr>
          <w:rFonts w:hint="eastAsia"/>
          <w:szCs w:val="21"/>
        </w:rPr>
        <w:t>注：1、总计价应等于《投标一览表》中的投标总价。若总计价与《投标一览表》总价不一致，以投标一览表总价为准</w:t>
      </w:r>
      <w:r>
        <w:rPr>
          <w:rFonts w:hint="eastAsia"/>
          <w:szCs w:val="21"/>
          <w:lang w:eastAsia="zh-CN"/>
        </w:rPr>
        <w:t>；</w:t>
      </w:r>
    </w:p>
    <w:p>
      <w:pPr>
        <w:spacing w:after="60" w:line="360" w:lineRule="auto"/>
        <w:ind w:firstLine="420" w:firstLineChars="200"/>
        <w:rPr>
          <w:szCs w:val="21"/>
        </w:rPr>
      </w:pPr>
      <w:r>
        <w:rPr>
          <w:rFonts w:hint="eastAsia"/>
          <w:szCs w:val="21"/>
        </w:rPr>
        <w:t>2、本表格仅为指导性范本，供应商应根据项目具体情况对各分项内容进行调整提供详细分项报价。</w:t>
      </w:r>
    </w:p>
    <w:p>
      <w:pPr>
        <w:spacing w:afterLines="0"/>
        <w:rPr>
          <w:rFonts w:cs="Arial"/>
        </w:rPr>
      </w:pPr>
    </w:p>
    <w:p>
      <w:pPr>
        <w:pStyle w:val="3"/>
        <w:pageBreakBefore/>
        <w:adjustRightInd w:val="0"/>
        <w:spacing w:after="60" w:line="240" w:lineRule="auto"/>
        <w:jc w:val="center"/>
        <w:textAlignment w:val="baseline"/>
        <w:rPr>
          <w:rFonts w:cs="Arial"/>
        </w:rPr>
      </w:pPr>
      <w:r>
        <w:rPr>
          <w:rFonts w:hint="eastAsia" w:ascii="宋体" w:hAnsi="宋体" w:eastAsia="宋体"/>
          <w:sz w:val="24"/>
          <w:szCs w:val="20"/>
        </w:rPr>
        <w:t>6</w:t>
      </w:r>
      <w:r>
        <w:rPr>
          <w:rFonts w:ascii="宋体" w:hAnsi="宋体" w:eastAsia="宋体"/>
          <w:sz w:val="24"/>
          <w:szCs w:val="20"/>
        </w:rPr>
        <w:t>.</w:t>
      </w:r>
      <w:r>
        <w:rPr>
          <w:rFonts w:hint="eastAsia" w:ascii="宋体" w:hAnsi="宋体" w:eastAsia="宋体"/>
          <w:sz w:val="24"/>
          <w:szCs w:val="20"/>
        </w:rPr>
        <w:t>技术要求偏离表</w:t>
      </w:r>
    </w:p>
    <w:p>
      <w:pPr>
        <w:spacing w:afterLines="0"/>
        <w:rPr>
          <w:rFonts w:cs="Arial"/>
        </w:rPr>
      </w:pPr>
      <w:r>
        <w:rPr>
          <w:rFonts w:hint="eastAsia" w:cs="Arial"/>
        </w:rPr>
        <w:t>项目名称____________________              招标编号____________________</w:t>
      </w:r>
    </w:p>
    <w:tbl>
      <w:tblPr>
        <w:tblStyle w:val="44"/>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83"/>
        <w:gridCol w:w="2984"/>
        <w:gridCol w:w="709"/>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shd w:val="clear" w:color="auto" w:fill="F3F3F3"/>
            <w:vAlign w:val="center"/>
          </w:tcPr>
          <w:p>
            <w:pPr>
              <w:spacing w:after="60"/>
              <w:jc w:val="center"/>
              <w:rPr>
                <w:rFonts w:ascii="宋体" w:hAnsi="宋体"/>
                <w:b/>
                <w:bCs/>
                <w:szCs w:val="21"/>
              </w:rPr>
            </w:pPr>
            <w:r>
              <w:rPr>
                <w:rFonts w:hint="eastAsia" w:ascii="宋体" w:hAnsi="宋体"/>
                <w:b/>
                <w:bCs/>
                <w:szCs w:val="21"/>
              </w:rPr>
              <w:t>序号</w:t>
            </w:r>
          </w:p>
        </w:tc>
        <w:tc>
          <w:tcPr>
            <w:tcW w:w="2983" w:type="dxa"/>
            <w:shd w:val="clear" w:color="auto" w:fill="F3F3F3"/>
            <w:vAlign w:val="center"/>
          </w:tcPr>
          <w:p>
            <w:pPr>
              <w:spacing w:after="60"/>
              <w:jc w:val="center"/>
              <w:rPr>
                <w:rFonts w:ascii="宋体" w:hAnsi="宋体"/>
                <w:b/>
                <w:bCs/>
                <w:szCs w:val="21"/>
              </w:rPr>
            </w:pPr>
            <w:r>
              <w:rPr>
                <w:rFonts w:hint="eastAsia" w:ascii="宋体" w:hAnsi="宋体"/>
                <w:b/>
                <w:bCs/>
                <w:szCs w:val="21"/>
              </w:rPr>
              <w:t>招标技术要求</w:t>
            </w:r>
          </w:p>
        </w:tc>
        <w:tc>
          <w:tcPr>
            <w:tcW w:w="2984" w:type="dxa"/>
            <w:shd w:val="clear" w:color="auto" w:fill="F3F3F3"/>
            <w:vAlign w:val="center"/>
          </w:tcPr>
          <w:p>
            <w:pPr>
              <w:spacing w:after="60"/>
              <w:jc w:val="center"/>
              <w:rPr>
                <w:rFonts w:ascii="宋体" w:hAnsi="宋体"/>
                <w:b/>
                <w:bCs/>
                <w:szCs w:val="21"/>
              </w:rPr>
            </w:pPr>
            <w:r>
              <w:rPr>
                <w:rFonts w:hint="eastAsia" w:ascii="宋体" w:hAnsi="宋体"/>
                <w:b/>
                <w:bCs/>
                <w:szCs w:val="21"/>
              </w:rPr>
              <w:t>投标技术响应</w:t>
            </w:r>
          </w:p>
        </w:tc>
        <w:tc>
          <w:tcPr>
            <w:tcW w:w="709" w:type="dxa"/>
            <w:shd w:val="clear" w:color="auto" w:fill="F3F3F3"/>
            <w:vAlign w:val="center"/>
          </w:tcPr>
          <w:p>
            <w:pPr>
              <w:spacing w:after="60"/>
              <w:jc w:val="center"/>
              <w:rPr>
                <w:rFonts w:ascii="宋体" w:hAnsi="宋体"/>
                <w:b/>
                <w:bCs/>
                <w:szCs w:val="21"/>
              </w:rPr>
            </w:pPr>
            <w:r>
              <w:rPr>
                <w:rFonts w:hint="eastAsia" w:ascii="宋体" w:hAnsi="宋体"/>
                <w:b/>
                <w:bCs/>
                <w:szCs w:val="21"/>
              </w:rPr>
              <w:t>偏离情况</w:t>
            </w:r>
          </w:p>
        </w:tc>
        <w:tc>
          <w:tcPr>
            <w:tcW w:w="1667" w:type="dxa"/>
            <w:shd w:val="clear" w:color="auto" w:fill="F3F3F3"/>
            <w:vAlign w:val="center"/>
          </w:tcPr>
          <w:p>
            <w:pPr>
              <w:spacing w:after="60"/>
              <w:jc w:val="center"/>
              <w:rPr>
                <w:rFonts w:ascii="宋体" w:hAnsi="宋体"/>
                <w:b/>
                <w:bCs/>
                <w:szCs w:val="21"/>
              </w:rPr>
            </w:pPr>
            <w:r>
              <w:rPr>
                <w:rFonts w:hint="eastAsia" w:ascii="宋体" w:hAnsi="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ind w:firstLine="210" w:firstLineChars="100"/>
              <w:rPr>
                <w:rFonts w:ascii="宋体" w:hAnsi="宋体"/>
                <w:szCs w:val="21"/>
              </w:rPr>
            </w:pPr>
            <w:r>
              <w:rPr>
                <w:rFonts w:hint="eastAsia" w:ascii="宋体" w:hAnsi="宋体"/>
                <w:szCs w:val="21"/>
              </w:rPr>
              <w:t>1</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rPr>
                <w:rFonts w:ascii="宋体" w:hAnsi="宋体"/>
                <w:szCs w:val="21"/>
              </w:rPr>
            </w:pPr>
          </w:p>
        </w:tc>
        <w:tc>
          <w:tcPr>
            <w:tcW w:w="1667" w:type="dxa"/>
          </w:tcPr>
          <w:p>
            <w:pPr>
              <w:spacing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ind w:firstLine="210" w:firstLineChars="100"/>
              <w:rPr>
                <w:rFonts w:ascii="宋体" w:hAnsi="宋体"/>
                <w:szCs w:val="21"/>
              </w:rPr>
            </w:pPr>
            <w:r>
              <w:rPr>
                <w:rFonts w:hint="eastAsia" w:ascii="宋体" w:hAnsi="宋体"/>
                <w:szCs w:val="21"/>
              </w:rPr>
              <w:t>2</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rPr>
                <w:rFonts w:ascii="宋体" w:hAnsi="宋体"/>
                <w:szCs w:val="21"/>
              </w:rPr>
            </w:pPr>
          </w:p>
        </w:tc>
        <w:tc>
          <w:tcPr>
            <w:tcW w:w="1667" w:type="dxa"/>
          </w:tcPr>
          <w:p>
            <w:pPr>
              <w:spacing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jc w:val="center"/>
              <w:rPr>
                <w:rFonts w:ascii="宋体" w:hAnsi="宋体"/>
                <w:szCs w:val="21"/>
              </w:rPr>
            </w:pPr>
            <w:r>
              <w:rPr>
                <w:rFonts w:hint="eastAsia" w:ascii="宋体" w:hAnsi="宋体"/>
                <w:szCs w:val="21"/>
              </w:rPr>
              <w:t>3</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jc w:val="center"/>
              <w:rPr>
                <w:rFonts w:ascii="宋体" w:hAnsi="宋体"/>
                <w:szCs w:val="21"/>
              </w:rPr>
            </w:pPr>
          </w:p>
        </w:tc>
        <w:tc>
          <w:tcPr>
            <w:tcW w:w="1667" w:type="dxa"/>
          </w:tcPr>
          <w:p>
            <w:pPr>
              <w:spacing w:after="60"/>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rPr>
                <w:rFonts w:ascii="宋体" w:hAnsi="宋体"/>
                <w:szCs w:val="21"/>
              </w:rPr>
            </w:pPr>
            <w:r>
              <w:rPr>
                <w:rFonts w:hint="eastAsia" w:ascii="宋体" w:hAnsi="宋体"/>
                <w:szCs w:val="21"/>
              </w:rPr>
              <w:t xml:space="preserve">  4</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jc w:val="center"/>
              <w:rPr>
                <w:rFonts w:ascii="宋体" w:hAnsi="宋体"/>
                <w:szCs w:val="21"/>
              </w:rPr>
            </w:pPr>
          </w:p>
        </w:tc>
        <w:tc>
          <w:tcPr>
            <w:tcW w:w="1667" w:type="dxa"/>
          </w:tcPr>
          <w:p>
            <w:pPr>
              <w:spacing w:after="60"/>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jc w:val="center"/>
              <w:rPr>
                <w:rFonts w:ascii="宋体" w:hAnsi="宋体"/>
                <w:szCs w:val="21"/>
              </w:rPr>
            </w:pPr>
            <w:r>
              <w:rPr>
                <w:rFonts w:hint="eastAsia" w:ascii="宋体" w:hAnsi="宋体"/>
                <w:szCs w:val="21"/>
              </w:rPr>
              <w:t>5</w:t>
            </w:r>
          </w:p>
        </w:tc>
        <w:tc>
          <w:tcPr>
            <w:tcW w:w="2983" w:type="dxa"/>
            <w:vAlign w:val="center"/>
          </w:tcPr>
          <w:p>
            <w:pPr>
              <w:spacing w:after="60"/>
              <w:rPr>
                <w:rFonts w:ascii="宋体" w:hAnsi="宋体"/>
                <w:i/>
                <w:iCs/>
                <w:szCs w:val="21"/>
              </w:rPr>
            </w:pPr>
          </w:p>
        </w:tc>
        <w:tc>
          <w:tcPr>
            <w:tcW w:w="2984" w:type="dxa"/>
            <w:vAlign w:val="center"/>
          </w:tcPr>
          <w:p>
            <w:pPr>
              <w:spacing w:after="60"/>
              <w:rPr>
                <w:rFonts w:ascii="宋体" w:hAnsi="宋体"/>
                <w:i/>
                <w:iCs/>
                <w:szCs w:val="21"/>
              </w:rPr>
            </w:pPr>
          </w:p>
        </w:tc>
        <w:tc>
          <w:tcPr>
            <w:tcW w:w="709" w:type="dxa"/>
            <w:vAlign w:val="center"/>
          </w:tcPr>
          <w:p>
            <w:pPr>
              <w:spacing w:after="60"/>
              <w:jc w:val="center"/>
              <w:rPr>
                <w:rFonts w:ascii="宋体" w:hAnsi="宋体"/>
                <w:szCs w:val="21"/>
              </w:rPr>
            </w:pPr>
          </w:p>
        </w:tc>
        <w:tc>
          <w:tcPr>
            <w:tcW w:w="1667" w:type="dxa"/>
          </w:tcPr>
          <w:p>
            <w:pPr>
              <w:spacing w:after="60"/>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jc w:val="center"/>
              <w:rPr>
                <w:rFonts w:ascii="宋体" w:hAnsi="宋体"/>
                <w:szCs w:val="21"/>
              </w:rPr>
            </w:pPr>
            <w:r>
              <w:rPr>
                <w:rFonts w:hint="eastAsia" w:ascii="宋体" w:hAnsi="宋体"/>
                <w:szCs w:val="21"/>
              </w:rPr>
              <w:t>6</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jc w:val="center"/>
              <w:rPr>
                <w:rFonts w:ascii="宋体" w:hAnsi="宋体"/>
                <w:szCs w:val="21"/>
              </w:rPr>
            </w:pPr>
          </w:p>
        </w:tc>
        <w:tc>
          <w:tcPr>
            <w:tcW w:w="1667" w:type="dxa"/>
          </w:tcPr>
          <w:p>
            <w:pPr>
              <w:spacing w:after="60"/>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jc w:val="center"/>
              <w:rPr>
                <w:rFonts w:ascii="宋体" w:hAnsi="宋体"/>
                <w:szCs w:val="21"/>
              </w:rPr>
            </w:pPr>
            <w:r>
              <w:rPr>
                <w:rFonts w:hint="eastAsia" w:ascii="宋体" w:hAnsi="宋体"/>
                <w:szCs w:val="21"/>
              </w:rPr>
              <w:t>7</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jc w:val="center"/>
              <w:rPr>
                <w:rFonts w:ascii="宋体" w:hAnsi="宋体"/>
                <w:szCs w:val="21"/>
              </w:rPr>
            </w:pPr>
          </w:p>
        </w:tc>
        <w:tc>
          <w:tcPr>
            <w:tcW w:w="1667" w:type="dxa"/>
          </w:tcPr>
          <w:p>
            <w:pPr>
              <w:spacing w:after="60"/>
              <w:ind w:right="-35"/>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2" w:type="dxa"/>
            <w:vAlign w:val="center"/>
          </w:tcPr>
          <w:p>
            <w:pPr>
              <w:spacing w:after="60"/>
              <w:jc w:val="center"/>
              <w:rPr>
                <w:rFonts w:ascii="宋体" w:hAnsi="宋体"/>
                <w:szCs w:val="21"/>
              </w:rPr>
            </w:pPr>
            <w:r>
              <w:rPr>
                <w:rFonts w:ascii="宋体" w:hAnsi="宋体"/>
                <w:szCs w:val="21"/>
              </w:rPr>
              <w:t>……</w:t>
            </w:r>
          </w:p>
        </w:tc>
        <w:tc>
          <w:tcPr>
            <w:tcW w:w="2983" w:type="dxa"/>
            <w:vAlign w:val="center"/>
          </w:tcPr>
          <w:p>
            <w:pPr>
              <w:spacing w:after="60"/>
              <w:rPr>
                <w:rFonts w:ascii="宋体" w:hAnsi="宋体"/>
                <w:szCs w:val="21"/>
              </w:rPr>
            </w:pPr>
          </w:p>
        </w:tc>
        <w:tc>
          <w:tcPr>
            <w:tcW w:w="2984" w:type="dxa"/>
            <w:vAlign w:val="center"/>
          </w:tcPr>
          <w:p>
            <w:pPr>
              <w:spacing w:after="60"/>
              <w:rPr>
                <w:rFonts w:ascii="宋体" w:hAnsi="宋体"/>
                <w:szCs w:val="21"/>
              </w:rPr>
            </w:pPr>
          </w:p>
        </w:tc>
        <w:tc>
          <w:tcPr>
            <w:tcW w:w="709" w:type="dxa"/>
            <w:vAlign w:val="center"/>
          </w:tcPr>
          <w:p>
            <w:pPr>
              <w:spacing w:after="60"/>
              <w:jc w:val="center"/>
              <w:rPr>
                <w:rFonts w:ascii="宋体" w:hAnsi="宋体"/>
                <w:szCs w:val="21"/>
              </w:rPr>
            </w:pPr>
          </w:p>
        </w:tc>
        <w:tc>
          <w:tcPr>
            <w:tcW w:w="1667" w:type="dxa"/>
          </w:tcPr>
          <w:p>
            <w:pPr>
              <w:pStyle w:val="121"/>
              <w:keepNext w:val="0"/>
              <w:adjustRightInd/>
              <w:spacing w:before="0" w:line="240" w:lineRule="auto"/>
              <w:textAlignment w:val="auto"/>
              <w:rPr>
                <w:rFonts w:ascii="宋体" w:hAnsi="宋体"/>
                <w:spacing w:val="0"/>
                <w:kern w:val="2"/>
                <w:sz w:val="21"/>
                <w:szCs w:val="21"/>
              </w:rPr>
            </w:pPr>
          </w:p>
        </w:tc>
      </w:tr>
    </w:tbl>
    <w:p>
      <w:pPr>
        <w:spacing w:after="60"/>
        <w:rPr>
          <w:rFonts w:cs="Arial" w:asciiTheme="minorEastAsia" w:hAnsiTheme="minorEastAsia" w:eastAsiaTheme="minorEastAsia"/>
          <w:lang w:val="en-GB"/>
        </w:rPr>
      </w:pPr>
      <w:r>
        <w:rPr>
          <w:rFonts w:hint="eastAsia" w:cs="Arial" w:asciiTheme="minorEastAsia" w:hAnsiTheme="minorEastAsia" w:eastAsiaTheme="minorEastAsia"/>
          <w:lang w:val="en-GB"/>
        </w:rPr>
        <w:t>注：</w:t>
      </w:r>
    </w:p>
    <w:p>
      <w:pPr>
        <w:spacing w:after="60"/>
        <w:rPr>
          <w:rFonts w:cs="Arial" w:asciiTheme="minorEastAsia" w:hAnsiTheme="minorEastAsia" w:eastAsiaTheme="minorEastAsia"/>
          <w:bCs/>
        </w:rPr>
      </w:pPr>
      <w:r>
        <w:rPr>
          <w:rFonts w:hint="eastAsia" w:cs="Arial" w:asciiTheme="minorEastAsia" w:hAnsiTheme="minorEastAsia" w:eastAsiaTheme="minorEastAsia"/>
          <w:bCs/>
        </w:rPr>
        <w:t>1、“招标技术要求”一栏应填写招标文件</w:t>
      </w:r>
      <w:r>
        <w:rPr>
          <w:rFonts w:hint="eastAsia" w:cs="Arial" w:asciiTheme="minorEastAsia" w:hAnsiTheme="minorEastAsia" w:eastAsiaTheme="minorEastAsia"/>
          <w:b/>
          <w:bCs/>
        </w:rPr>
        <w:t>项目需求书“</w:t>
      </w:r>
      <w:r>
        <w:rPr>
          <w:rFonts w:hint="eastAsia" w:cs="Arial" w:asciiTheme="minorEastAsia" w:hAnsiTheme="minorEastAsia" w:eastAsiaTheme="minorEastAsia"/>
          <w:b/>
        </w:rPr>
        <w:t>二、技术要求</w:t>
      </w:r>
      <w:r>
        <w:rPr>
          <w:rFonts w:hint="eastAsia" w:cs="Arial" w:asciiTheme="minorEastAsia" w:hAnsiTheme="minorEastAsia" w:eastAsiaTheme="minorEastAsia"/>
          <w:bCs/>
        </w:rPr>
        <w:t>”的内容，所填内容</w:t>
      </w:r>
      <w:r>
        <w:rPr>
          <w:rFonts w:hint="eastAsia" w:cs="Arial" w:asciiTheme="minorEastAsia" w:hAnsiTheme="minorEastAsia" w:eastAsiaTheme="minorEastAsia"/>
          <w:lang w:val="en-GB"/>
        </w:rPr>
        <w:t>必须与招标文件中的内容一致</w:t>
      </w:r>
      <w:r>
        <w:rPr>
          <w:rFonts w:hint="eastAsia" w:cs="Arial" w:asciiTheme="minorEastAsia" w:hAnsiTheme="minorEastAsia" w:eastAsiaTheme="minorEastAsia"/>
          <w:bCs/>
        </w:rPr>
        <w:t>；</w:t>
      </w:r>
    </w:p>
    <w:p>
      <w:pPr>
        <w:spacing w:after="60"/>
        <w:rPr>
          <w:rFonts w:cs="Arial" w:asciiTheme="minorEastAsia" w:hAnsiTheme="minorEastAsia" w:eastAsiaTheme="minorEastAsia"/>
          <w:bCs/>
        </w:rPr>
      </w:pPr>
      <w:r>
        <w:rPr>
          <w:rFonts w:hint="eastAsia" w:cs="Arial" w:asciiTheme="minorEastAsia" w:hAnsiTheme="minorEastAsia" w:eastAsiaTheme="minorEastAsia"/>
          <w:bCs/>
        </w:rPr>
        <w:t>2、“投标技术响应”一栏必须详细填写投标技术响应，并应对照招标技术要求一一对应响应，</w:t>
      </w:r>
      <w:r>
        <w:rPr>
          <w:rFonts w:hint="eastAsia" w:cs="Arial" w:asciiTheme="minorEastAsia" w:hAnsiTheme="minorEastAsia" w:eastAsiaTheme="minorEastAsia"/>
          <w:lang w:val="en-GB"/>
        </w:rPr>
        <w:t>如填写不清无法判断响应的情况视为模糊响应，评委有权判定按负偏离处理</w:t>
      </w:r>
      <w:r>
        <w:rPr>
          <w:rFonts w:hint="eastAsia" w:cs="Arial" w:asciiTheme="minorEastAsia" w:hAnsiTheme="minorEastAsia" w:eastAsiaTheme="minorEastAsia"/>
          <w:bCs/>
        </w:rPr>
        <w:t>；</w:t>
      </w:r>
    </w:p>
    <w:p>
      <w:pPr>
        <w:spacing w:after="60"/>
        <w:rPr>
          <w:rFonts w:cs="Arial"/>
        </w:rPr>
      </w:pPr>
      <w:r>
        <w:rPr>
          <w:rFonts w:hint="eastAsia" w:cs="Arial" w:asciiTheme="minorEastAsia" w:hAnsiTheme="minorEastAsia" w:eastAsiaTheme="minorEastAsia"/>
          <w:bCs/>
        </w:rPr>
        <w:t>3、“偏离情况”一栏应如实填写“正偏离”、“负偏离”或“无偏离”，</w:t>
      </w:r>
      <w:r>
        <w:rPr>
          <w:rFonts w:hint="eastAsia" w:cs="Arial" w:asciiTheme="minorEastAsia" w:hAnsiTheme="minorEastAsia" w:eastAsiaTheme="minorEastAsia"/>
          <w:lang w:val="en-GB"/>
        </w:rPr>
        <w:t xml:space="preserve"> “偏离说明”栏内扼要说明偏离情况。</w:t>
      </w:r>
    </w:p>
    <w:p>
      <w:pPr>
        <w:spacing w:afterLines="0"/>
        <w:rPr>
          <w:rStyle w:val="54"/>
        </w:rPr>
      </w:pPr>
    </w:p>
    <w:p>
      <w:pPr>
        <w:widowControl/>
        <w:spacing w:afterLines="0" w:line="240" w:lineRule="auto"/>
        <w:jc w:val="left"/>
        <w:rPr>
          <w:b/>
          <w:bCs/>
        </w:rPr>
      </w:pPr>
      <w:r>
        <w:rPr>
          <w:b/>
          <w:bCs/>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7.商务条款响应表</w:t>
      </w:r>
    </w:p>
    <w:p>
      <w:pPr>
        <w:spacing w:after="60"/>
      </w:pPr>
      <w:r>
        <w:rPr>
          <w:rFonts w:hint="eastAsia" w:cs="Arial"/>
        </w:rPr>
        <w:t>项目名称____________________              招标编号____________________</w:t>
      </w:r>
    </w:p>
    <w:tbl>
      <w:tblPr>
        <w:tblStyle w:val="44"/>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3054"/>
        <w:gridCol w:w="3055"/>
        <w:gridCol w:w="70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shd w:val="clear" w:color="auto" w:fill="F3F3F3"/>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3054" w:type="dxa"/>
            <w:shd w:val="clear" w:color="auto" w:fill="F3F3F3"/>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招标商务要求</w:t>
            </w:r>
          </w:p>
        </w:tc>
        <w:tc>
          <w:tcPr>
            <w:tcW w:w="3055" w:type="dxa"/>
            <w:shd w:val="clear" w:color="auto" w:fill="F3F3F3"/>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投标商务响应         </w:t>
            </w:r>
          </w:p>
        </w:tc>
        <w:tc>
          <w:tcPr>
            <w:tcW w:w="708" w:type="dxa"/>
            <w:shd w:val="clear" w:color="auto" w:fill="F3F3F3"/>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偏离情况</w:t>
            </w:r>
          </w:p>
        </w:tc>
        <w:tc>
          <w:tcPr>
            <w:tcW w:w="1526" w:type="dxa"/>
            <w:shd w:val="clear" w:color="auto" w:fill="F3F3F3"/>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3054" w:type="dxa"/>
            <w:vAlign w:val="center"/>
          </w:tcPr>
          <w:p>
            <w:pPr>
              <w:widowControl/>
              <w:spacing w:afterLines="0" w:line="240" w:lineRule="auto"/>
              <w:jc w:val="left"/>
              <w:rPr>
                <w:rFonts w:asciiTheme="minorEastAsia" w:hAnsiTheme="minorEastAsia" w:eastAsiaTheme="minorEastAsia"/>
                <w:bCs/>
                <w:i/>
                <w:iCs/>
                <w:szCs w:val="21"/>
              </w:rPr>
            </w:pPr>
          </w:p>
        </w:tc>
        <w:tc>
          <w:tcPr>
            <w:tcW w:w="3055" w:type="dxa"/>
            <w:vAlign w:val="center"/>
          </w:tcPr>
          <w:p>
            <w:pPr>
              <w:widowControl/>
              <w:spacing w:afterLines="0" w:line="240" w:lineRule="auto"/>
              <w:jc w:val="left"/>
              <w:rPr>
                <w:rFonts w:asciiTheme="minorEastAsia" w:hAnsiTheme="minorEastAsia" w:eastAsiaTheme="minorEastAsia"/>
                <w:bCs/>
                <w:i/>
                <w:i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2" w:type="dxa"/>
            <w:vAlign w:val="center"/>
          </w:tcPr>
          <w:p>
            <w:pPr>
              <w:widowControl/>
              <w:spacing w:afterLines="0" w:line="240" w:lineRule="auto"/>
              <w:jc w:val="left"/>
              <w:rPr>
                <w:rFonts w:asciiTheme="minorEastAsia" w:hAnsiTheme="minorEastAsia" w:eastAsiaTheme="minorEastAsia"/>
                <w:bCs/>
                <w:szCs w:val="21"/>
              </w:rPr>
            </w:pPr>
            <w:r>
              <w:rPr>
                <w:rFonts w:asciiTheme="minorEastAsia" w:hAnsiTheme="minorEastAsia" w:eastAsiaTheme="minorEastAsia"/>
                <w:bCs/>
                <w:szCs w:val="21"/>
              </w:rPr>
              <w:t>…</w:t>
            </w:r>
          </w:p>
        </w:tc>
        <w:tc>
          <w:tcPr>
            <w:tcW w:w="3054" w:type="dxa"/>
            <w:vAlign w:val="center"/>
          </w:tcPr>
          <w:p>
            <w:pPr>
              <w:widowControl/>
              <w:spacing w:afterLines="0" w:line="240" w:lineRule="auto"/>
              <w:jc w:val="left"/>
              <w:rPr>
                <w:rFonts w:asciiTheme="minorEastAsia" w:hAnsiTheme="minorEastAsia" w:eastAsiaTheme="minorEastAsia"/>
                <w:bCs/>
                <w:szCs w:val="21"/>
              </w:rPr>
            </w:pPr>
          </w:p>
        </w:tc>
        <w:tc>
          <w:tcPr>
            <w:tcW w:w="3055" w:type="dxa"/>
            <w:vAlign w:val="center"/>
          </w:tcPr>
          <w:p>
            <w:pPr>
              <w:widowControl/>
              <w:spacing w:afterLines="0" w:line="240" w:lineRule="auto"/>
              <w:jc w:val="left"/>
              <w:rPr>
                <w:rFonts w:asciiTheme="minorEastAsia" w:hAnsiTheme="minorEastAsia" w:eastAsiaTheme="minorEastAsia"/>
                <w:bCs/>
                <w:szCs w:val="21"/>
              </w:rPr>
            </w:pPr>
          </w:p>
        </w:tc>
        <w:tc>
          <w:tcPr>
            <w:tcW w:w="708" w:type="dxa"/>
            <w:vAlign w:val="center"/>
          </w:tcPr>
          <w:p>
            <w:pPr>
              <w:widowControl/>
              <w:spacing w:afterLines="0" w:line="240" w:lineRule="auto"/>
              <w:jc w:val="left"/>
              <w:rPr>
                <w:rFonts w:asciiTheme="minorEastAsia" w:hAnsiTheme="minorEastAsia" w:eastAsiaTheme="minorEastAsia"/>
                <w:bCs/>
                <w:szCs w:val="21"/>
              </w:rPr>
            </w:pPr>
          </w:p>
        </w:tc>
        <w:tc>
          <w:tcPr>
            <w:tcW w:w="1526" w:type="dxa"/>
            <w:vAlign w:val="center"/>
          </w:tcPr>
          <w:p>
            <w:pPr>
              <w:widowControl/>
              <w:spacing w:afterLines="0" w:line="240" w:lineRule="auto"/>
              <w:jc w:val="left"/>
              <w:rPr>
                <w:rFonts w:asciiTheme="minorEastAsia" w:hAnsiTheme="minorEastAsia" w:eastAsiaTheme="minorEastAsia"/>
                <w:bCs/>
                <w:szCs w:val="21"/>
              </w:rPr>
            </w:pPr>
          </w:p>
        </w:tc>
      </w:tr>
    </w:tbl>
    <w:p>
      <w:pPr>
        <w:widowControl/>
        <w:spacing w:afterLines="0" w:line="360" w:lineRule="auto"/>
        <w:jc w:val="left"/>
        <w:rPr>
          <w:rFonts w:asciiTheme="minorEastAsia" w:hAnsiTheme="minorEastAsia" w:eastAsiaTheme="minorEastAsia"/>
          <w:bCs/>
          <w:lang w:val="en-GB"/>
        </w:rPr>
      </w:pPr>
      <w:r>
        <w:rPr>
          <w:rFonts w:hint="eastAsia" w:asciiTheme="minorEastAsia" w:hAnsiTheme="minorEastAsia" w:eastAsiaTheme="minorEastAsia"/>
          <w:bCs/>
          <w:lang w:val="en-GB"/>
        </w:rPr>
        <w:t>注：</w:t>
      </w:r>
    </w:p>
    <w:p>
      <w:pPr>
        <w:widowControl/>
        <w:spacing w:afterLines="0" w:line="360" w:lineRule="auto"/>
        <w:jc w:val="left"/>
        <w:rPr>
          <w:rFonts w:asciiTheme="minorEastAsia" w:hAnsiTheme="minorEastAsia" w:eastAsiaTheme="minorEastAsia"/>
          <w:bCs/>
        </w:rPr>
      </w:pPr>
      <w:r>
        <w:rPr>
          <w:rFonts w:hint="eastAsia" w:asciiTheme="minorEastAsia" w:hAnsiTheme="minorEastAsia" w:eastAsiaTheme="minorEastAsia"/>
          <w:bCs/>
        </w:rPr>
        <w:t>1、“招标商务要求”一栏应填写招标文件</w:t>
      </w:r>
      <w:r>
        <w:rPr>
          <w:rFonts w:hint="eastAsia" w:asciiTheme="minorEastAsia" w:hAnsiTheme="minorEastAsia" w:eastAsiaTheme="minorEastAsia"/>
          <w:b/>
          <w:bCs/>
        </w:rPr>
        <w:t>项目需求书“三、商务要求”</w:t>
      </w:r>
      <w:r>
        <w:rPr>
          <w:rFonts w:hint="eastAsia" w:asciiTheme="minorEastAsia" w:hAnsiTheme="minorEastAsia" w:eastAsiaTheme="minorEastAsia"/>
          <w:bCs/>
        </w:rPr>
        <w:t>的内容，所填内容</w:t>
      </w:r>
      <w:r>
        <w:rPr>
          <w:rFonts w:hint="eastAsia" w:asciiTheme="minorEastAsia" w:hAnsiTheme="minorEastAsia" w:eastAsiaTheme="minorEastAsia"/>
          <w:bCs/>
          <w:lang w:val="en-GB"/>
        </w:rPr>
        <w:t>必须与招标文件中内容一致</w:t>
      </w:r>
      <w:r>
        <w:rPr>
          <w:rFonts w:hint="eastAsia" w:asciiTheme="minorEastAsia" w:hAnsiTheme="minorEastAsia" w:eastAsiaTheme="minorEastAsia"/>
          <w:bCs/>
        </w:rPr>
        <w:t>；</w:t>
      </w:r>
    </w:p>
    <w:p>
      <w:pPr>
        <w:widowControl/>
        <w:spacing w:afterLines="0" w:line="360" w:lineRule="auto"/>
        <w:jc w:val="left"/>
        <w:rPr>
          <w:rFonts w:asciiTheme="minorEastAsia" w:hAnsiTheme="minorEastAsia" w:eastAsiaTheme="minorEastAsia"/>
          <w:bCs/>
        </w:rPr>
      </w:pPr>
      <w:r>
        <w:rPr>
          <w:rFonts w:hint="eastAsia" w:asciiTheme="minorEastAsia" w:hAnsiTheme="minorEastAsia" w:eastAsiaTheme="minorEastAsia"/>
          <w:bCs/>
        </w:rPr>
        <w:t>2、“投标商务响应”一栏必须详细填写投标商务响应条款，并应对照招标商务要求一一对应响应，</w:t>
      </w:r>
      <w:r>
        <w:rPr>
          <w:rFonts w:hint="eastAsia" w:asciiTheme="minorEastAsia" w:hAnsiTheme="minorEastAsia" w:eastAsiaTheme="minorEastAsia"/>
          <w:bCs/>
          <w:lang w:val="en-GB"/>
        </w:rPr>
        <w:t>如填写不清无法判断响应的情况视为模糊响应，评委有权判定按负偏离处理</w:t>
      </w:r>
      <w:r>
        <w:rPr>
          <w:rFonts w:hint="eastAsia" w:asciiTheme="minorEastAsia" w:hAnsiTheme="minorEastAsia" w:eastAsiaTheme="minorEastAsia"/>
          <w:bCs/>
        </w:rPr>
        <w:t>；</w:t>
      </w:r>
    </w:p>
    <w:p>
      <w:pPr>
        <w:widowControl/>
        <w:spacing w:afterLines="0" w:line="360" w:lineRule="auto"/>
        <w:jc w:val="left"/>
        <w:rPr>
          <w:b/>
          <w:bCs/>
        </w:rPr>
      </w:pPr>
      <w:r>
        <w:rPr>
          <w:rFonts w:hint="eastAsia" w:asciiTheme="minorEastAsia" w:hAnsiTheme="minorEastAsia" w:eastAsiaTheme="minorEastAsia"/>
          <w:bCs/>
        </w:rPr>
        <w:t>3、“偏离情况”一栏应如实填写“正偏离”、“负偏离”或“无偏离”，</w:t>
      </w:r>
      <w:r>
        <w:rPr>
          <w:rFonts w:hint="eastAsia" w:asciiTheme="minorEastAsia" w:hAnsiTheme="minorEastAsia" w:eastAsiaTheme="minorEastAsia"/>
          <w:bCs/>
          <w:lang w:val="en-GB"/>
        </w:rPr>
        <w:t xml:space="preserve"> “偏离说明”栏内扼要说明偏离情况。</w:t>
      </w:r>
    </w:p>
    <w:p>
      <w:pPr>
        <w:widowControl/>
        <w:spacing w:afterLines="0" w:line="240" w:lineRule="auto"/>
        <w:jc w:val="left"/>
      </w:pPr>
      <w:r>
        <w:br w:type="page"/>
      </w:r>
    </w:p>
    <w:p>
      <w:pPr>
        <w:pStyle w:val="3"/>
        <w:pageBreakBefore/>
        <w:adjustRightInd w:val="0"/>
        <w:spacing w:afterLines="0" w:line="240" w:lineRule="auto"/>
        <w:jc w:val="center"/>
        <w:textAlignment w:val="baseline"/>
        <w:rPr>
          <w:rFonts w:ascii="宋体" w:hAnsi="宋体" w:eastAsia="宋体"/>
          <w:sz w:val="24"/>
          <w:szCs w:val="20"/>
        </w:rPr>
      </w:pPr>
      <w:r>
        <w:rPr>
          <w:rFonts w:hint="eastAsia" w:ascii="宋体" w:hAnsi="宋体" w:eastAsia="宋体"/>
          <w:sz w:val="24"/>
          <w:szCs w:val="20"/>
        </w:rPr>
        <w:t>8</w:t>
      </w:r>
      <w:r>
        <w:rPr>
          <w:rFonts w:ascii="宋体" w:hAnsi="宋体" w:eastAsia="宋体"/>
          <w:sz w:val="24"/>
          <w:szCs w:val="20"/>
        </w:rPr>
        <w:t>.</w:t>
      </w:r>
      <w:r>
        <w:rPr>
          <w:rFonts w:hint="eastAsia" w:ascii="宋体" w:hAnsi="宋体" w:eastAsia="宋体"/>
          <w:sz w:val="24"/>
          <w:szCs w:val="20"/>
        </w:rPr>
        <w:t>投标人情况介绍</w:t>
      </w:r>
    </w:p>
    <w:p>
      <w:pPr>
        <w:spacing w:after="60" w:line="240" w:lineRule="auto"/>
        <w:ind w:left="55" w:leftChars="26"/>
        <w:rPr>
          <w:rFonts w:asciiTheme="minorEastAsia" w:hAnsiTheme="minorEastAsia" w:eastAsiaTheme="minorEastAsia"/>
          <w:bCs/>
          <w:szCs w:val="21"/>
        </w:rPr>
      </w:pPr>
      <w:r>
        <w:rPr>
          <w:rFonts w:hint="eastAsia" w:asciiTheme="minorEastAsia" w:hAnsiTheme="minorEastAsia" w:eastAsiaTheme="minorEastAsia"/>
          <w:bCs/>
          <w:szCs w:val="21"/>
        </w:rPr>
        <w:t>注：</w:t>
      </w:r>
    </w:p>
    <w:p>
      <w:pPr>
        <w:spacing w:after="60" w:line="240" w:lineRule="auto"/>
        <w:ind w:left="55" w:leftChars="26"/>
        <w:rPr>
          <w:rFonts w:asciiTheme="minorEastAsia" w:hAnsiTheme="minorEastAsia" w:eastAsiaTheme="minorEastAsia"/>
          <w:bCs/>
          <w:szCs w:val="21"/>
        </w:rPr>
      </w:pPr>
      <w:r>
        <w:rPr>
          <w:rFonts w:hint="eastAsia" w:asciiTheme="minorEastAsia" w:hAnsiTheme="minorEastAsia" w:eastAsiaTheme="minorEastAsia"/>
          <w:bCs/>
          <w:szCs w:val="21"/>
        </w:rPr>
        <w:t>（1）在按要求填写好此表格后，各投标单位可以用其它的方式，就公司整体情况作出详细的介绍。</w:t>
      </w:r>
    </w:p>
    <w:p>
      <w:pPr>
        <w:spacing w:after="60" w:line="240" w:lineRule="auto"/>
        <w:ind w:left="55" w:leftChars="26"/>
        <w:rPr>
          <w:rFonts w:asciiTheme="minorEastAsia" w:hAnsiTheme="minorEastAsia" w:eastAsiaTheme="minorEastAsia"/>
          <w:szCs w:val="21"/>
        </w:rPr>
      </w:pPr>
      <w:r>
        <w:rPr>
          <w:rFonts w:hint="eastAsia" w:asciiTheme="minorEastAsia" w:hAnsiTheme="minorEastAsia" w:eastAsiaTheme="minorEastAsia"/>
          <w:szCs w:val="21"/>
        </w:rPr>
        <w:t>（2）有关资质和获奖情况需提供证书扫描。</w:t>
      </w:r>
    </w:p>
    <w:p>
      <w:pPr>
        <w:spacing w:after="60" w:line="240" w:lineRule="auto"/>
        <w:ind w:left="55" w:leftChars="26"/>
        <w:rPr>
          <w:rFonts w:asciiTheme="minorEastAsia" w:hAnsiTheme="minorEastAsia" w:eastAsiaTheme="minorEastAsia"/>
          <w:b/>
          <w:bCs/>
          <w:szCs w:val="21"/>
        </w:rPr>
      </w:pPr>
      <w:r>
        <w:rPr>
          <w:rFonts w:hint="eastAsia" w:asciiTheme="minorEastAsia" w:hAnsiTheme="minorEastAsia" w:eastAsiaTheme="minorEastAsia"/>
          <w:b/>
          <w:bCs/>
          <w:szCs w:val="21"/>
        </w:rPr>
        <w:t>1、投标人</w:t>
      </w:r>
      <w:r>
        <w:rPr>
          <w:rFonts w:hint="eastAsia" w:ascii="宋体" w:hAnsi="宋体"/>
          <w:b/>
          <w:bCs/>
          <w:szCs w:val="21"/>
        </w:rPr>
        <w:t>情况介绍表</w:t>
      </w:r>
    </w:p>
    <w:tbl>
      <w:tblPr>
        <w:tblStyle w:val="44"/>
        <w:tblW w:w="86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348"/>
        <w:gridCol w:w="4278"/>
        <w:gridCol w:w="133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tcBorders>
              <w:top w:val="double" w:color="auto" w:sz="4" w:space="0"/>
            </w:tcBorders>
            <w:vAlign w:val="center"/>
          </w:tcPr>
          <w:p>
            <w:pPr>
              <w:snapToGrid w:val="0"/>
              <w:spacing w:afterLines="0" w:line="240" w:lineRule="auto"/>
              <w:jc w:val="center"/>
              <w:rPr>
                <w:b/>
                <w:szCs w:val="21"/>
              </w:rPr>
            </w:pPr>
            <w:r>
              <w:rPr>
                <w:rFonts w:hint="eastAsia"/>
                <w:b/>
                <w:szCs w:val="21"/>
              </w:rPr>
              <w:t>序号</w:t>
            </w:r>
          </w:p>
        </w:tc>
        <w:tc>
          <w:tcPr>
            <w:tcW w:w="2348" w:type="dxa"/>
            <w:tcBorders>
              <w:top w:val="double" w:color="auto" w:sz="4" w:space="0"/>
            </w:tcBorders>
            <w:vAlign w:val="center"/>
          </w:tcPr>
          <w:p>
            <w:pPr>
              <w:snapToGrid w:val="0"/>
              <w:spacing w:afterLines="0" w:line="240" w:lineRule="auto"/>
              <w:jc w:val="center"/>
              <w:rPr>
                <w:b/>
                <w:szCs w:val="21"/>
              </w:rPr>
            </w:pPr>
            <w:r>
              <w:rPr>
                <w:rFonts w:hint="eastAsia"/>
                <w:b/>
                <w:szCs w:val="21"/>
              </w:rPr>
              <w:t>项目</w:t>
            </w:r>
          </w:p>
        </w:tc>
        <w:tc>
          <w:tcPr>
            <w:tcW w:w="4278" w:type="dxa"/>
            <w:tcBorders>
              <w:top w:val="double" w:color="auto" w:sz="4" w:space="0"/>
            </w:tcBorders>
            <w:vAlign w:val="center"/>
          </w:tcPr>
          <w:p>
            <w:pPr>
              <w:snapToGrid w:val="0"/>
              <w:spacing w:afterLines="0" w:line="240" w:lineRule="auto"/>
              <w:jc w:val="center"/>
              <w:rPr>
                <w:b/>
                <w:szCs w:val="21"/>
              </w:rPr>
            </w:pPr>
            <w:r>
              <w:rPr>
                <w:rFonts w:hint="eastAsia"/>
                <w:b/>
                <w:szCs w:val="21"/>
              </w:rPr>
              <w:t>内容及说明</w:t>
            </w:r>
          </w:p>
        </w:tc>
        <w:tc>
          <w:tcPr>
            <w:tcW w:w="1337" w:type="dxa"/>
            <w:tcBorders>
              <w:top w:val="double" w:color="auto" w:sz="4" w:space="0"/>
            </w:tcBorders>
            <w:vAlign w:val="center"/>
          </w:tcPr>
          <w:p>
            <w:pPr>
              <w:snapToGrid w:val="0"/>
              <w:spacing w:afterLines="0" w:line="240" w:lineRule="auto"/>
              <w:jc w:val="center"/>
              <w:rPr>
                <w:b/>
                <w:szCs w:val="21"/>
              </w:rPr>
            </w:pPr>
            <w:r>
              <w:rPr>
                <w:rFonts w:hint="eastAsia"/>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b/>
                <w:szCs w:val="21"/>
              </w:rPr>
            </w:pPr>
            <w:r>
              <w:rPr>
                <w:rFonts w:hint="eastAsia"/>
                <w:b/>
                <w:szCs w:val="21"/>
              </w:rPr>
              <w:t>一</w:t>
            </w:r>
          </w:p>
        </w:tc>
        <w:tc>
          <w:tcPr>
            <w:tcW w:w="6626" w:type="dxa"/>
            <w:gridSpan w:val="2"/>
            <w:vAlign w:val="center"/>
          </w:tcPr>
          <w:p>
            <w:pPr>
              <w:snapToGrid w:val="0"/>
              <w:spacing w:afterLines="0" w:line="240" w:lineRule="auto"/>
              <w:rPr>
                <w:b/>
                <w:szCs w:val="21"/>
              </w:rPr>
            </w:pPr>
            <w:r>
              <w:rPr>
                <w:rFonts w:hint="eastAsia"/>
                <w:b/>
                <w:szCs w:val="21"/>
              </w:rPr>
              <w:t>营业执照</w:t>
            </w:r>
          </w:p>
        </w:tc>
        <w:tc>
          <w:tcPr>
            <w:tcW w:w="1337" w:type="dxa"/>
            <w:vAlign w:val="center"/>
          </w:tcPr>
          <w:p>
            <w:pPr>
              <w:snapToGrid w:val="0"/>
              <w:spacing w:afterLines="0" w:line="240" w:lineRule="auto"/>
              <w:jc w:val="center"/>
              <w:rPr>
                <w:szCs w:val="21"/>
              </w:rPr>
            </w:pPr>
            <w:r>
              <w:rPr>
                <w:rFonts w:hint="eastAsia"/>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1</w:t>
            </w:r>
          </w:p>
        </w:tc>
        <w:tc>
          <w:tcPr>
            <w:tcW w:w="2348" w:type="dxa"/>
            <w:vAlign w:val="center"/>
          </w:tcPr>
          <w:p>
            <w:pPr>
              <w:snapToGrid w:val="0"/>
              <w:spacing w:afterLines="0" w:line="240" w:lineRule="auto"/>
              <w:jc w:val="center"/>
              <w:rPr>
                <w:szCs w:val="21"/>
              </w:rPr>
            </w:pPr>
            <w:r>
              <w:rPr>
                <w:rFonts w:hint="eastAsia"/>
                <w:szCs w:val="21"/>
              </w:rPr>
              <w:t>注册年度及注册编号</w:t>
            </w:r>
          </w:p>
        </w:tc>
        <w:tc>
          <w:tcPr>
            <w:tcW w:w="4278" w:type="dxa"/>
            <w:vAlign w:val="center"/>
          </w:tcPr>
          <w:p>
            <w:pPr>
              <w:snapToGrid w:val="0"/>
              <w:spacing w:afterLines="0" w:line="240" w:lineRule="auto"/>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81" w:hRule="atLeast"/>
          <w:jc w:val="center"/>
        </w:trPr>
        <w:tc>
          <w:tcPr>
            <w:tcW w:w="696" w:type="dxa"/>
            <w:vAlign w:val="center"/>
          </w:tcPr>
          <w:p>
            <w:pPr>
              <w:snapToGrid w:val="0"/>
              <w:spacing w:afterLines="0" w:line="240" w:lineRule="auto"/>
              <w:jc w:val="center"/>
              <w:rPr>
                <w:szCs w:val="21"/>
              </w:rPr>
            </w:pPr>
            <w:r>
              <w:rPr>
                <w:szCs w:val="21"/>
              </w:rPr>
              <w:t>2</w:t>
            </w:r>
          </w:p>
        </w:tc>
        <w:tc>
          <w:tcPr>
            <w:tcW w:w="2348" w:type="dxa"/>
            <w:vAlign w:val="center"/>
          </w:tcPr>
          <w:p>
            <w:pPr>
              <w:snapToGrid w:val="0"/>
              <w:spacing w:afterLines="0" w:line="240" w:lineRule="auto"/>
              <w:jc w:val="center"/>
              <w:rPr>
                <w:szCs w:val="21"/>
              </w:rPr>
            </w:pPr>
            <w:r>
              <w:rPr>
                <w:rFonts w:hint="eastAsia"/>
                <w:szCs w:val="21"/>
              </w:rPr>
              <w:t>注册资金（万元）</w:t>
            </w:r>
          </w:p>
        </w:tc>
        <w:tc>
          <w:tcPr>
            <w:tcW w:w="4278" w:type="dxa"/>
            <w:vAlign w:val="center"/>
          </w:tcPr>
          <w:p>
            <w:pPr>
              <w:snapToGrid w:val="0"/>
              <w:spacing w:afterLines="0" w:line="240" w:lineRule="auto"/>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3</w:t>
            </w:r>
          </w:p>
        </w:tc>
        <w:tc>
          <w:tcPr>
            <w:tcW w:w="2348" w:type="dxa"/>
            <w:vAlign w:val="center"/>
          </w:tcPr>
          <w:p>
            <w:pPr>
              <w:snapToGrid w:val="0"/>
              <w:spacing w:afterLines="0" w:line="240" w:lineRule="auto"/>
              <w:jc w:val="center"/>
              <w:rPr>
                <w:szCs w:val="21"/>
              </w:rPr>
            </w:pPr>
            <w:r>
              <w:rPr>
                <w:rFonts w:hint="eastAsia"/>
                <w:szCs w:val="21"/>
              </w:rPr>
              <w:t>经营场所</w:t>
            </w:r>
          </w:p>
        </w:tc>
        <w:tc>
          <w:tcPr>
            <w:tcW w:w="4278" w:type="dxa"/>
            <w:vAlign w:val="center"/>
          </w:tcPr>
          <w:p>
            <w:pPr>
              <w:snapToGrid w:val="0"/>
              <w:spacing w:afterLines="0" w:line="240" w:lineRule="auto"/>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4</w:t>
            </w:r>
          </w:p>
        </w:tc>
        <w:tc>
          <w:tcPr>
            <w:tcW w:w="2348" w:type="dxa"/>
            <w:vAlign w:val="center"/>
          </w:tcPr>
          <w:p>
            <w:pPr>
              <w:snapToGrid w:val="0"/>
              <w:spacing w:afterLines="0" w:line="240" w:lineRule="auto"/>
              <w:jc w:val="center"/>
              <w:rPr>
                <w:szCs w:val="21"/>
              </w:rPr>
            </w:pPr>
            <w:r>
              <w:rPr>
                <w:rFonts w:hint="eastAsia"/>
                <w:szCs w:val="21"/>
              </w:rPr>
              <w:t>有效期</w:t>
            </w:r>
          </w:p>
        </w:tc>
        <w:tc>
          <w:tcPr>
            <w:tcW w:w="4278" w:type="dxa"/>
            <w:vAlign w:val="center"/>
          </w:tcPr>
          <w:p>
            <w:pPr>
              <w:snapToGrid w:val="0"/>
              <w:spacing w:afterLines="0" w:line="240" w:lineRule="auto"/>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rFonts w:hint="eastAsia"/>
                <w:szCs w:val="21"/>
              </w:rPr>
              <w:t>二</w:t>
            </w:r>
          </w:p>
        </w:tc>
        <w:tc>
          <w:tcPr>
            <w:tcW w:w="6626" w:type="dxa"/>
            <w:gridSpan w:val="2"/>
            <w:vAlign w:val="center"/>
          </w:tcPr>
          <w:p>
            <w:pPr>
              <w:snapToGrid w:val="0"/>
              <w:spacing w:afterLines="0" w:line="240" w:lineRule="auto"/>
              <w:rPr>
                <w:b/>
                <w:szCs w:val="21"/>
              </w:rPr>
            </w:pPr>
            <w:r>
              <w:rPr>
                <w:rFonts w:hint="eastAsia"/>
                <w:b/>
                <w:szCs w:val="21"/>
              </w:rPr>
              <w:t>资格（质）证书（</w:t>
            </w:r>
            <w:r>
              <w:rPr>
                <w:rFonts w:hint="eastAsia"/>
                <w:szCs w:val="21"/>
              </w:rPr>
              <w:t>若有其他资质证书，可按表格格式扩展</w:t>
            </w:r>
            <w:r>
              <w:rPr>
                <w:rFonts w:hint="eastAsia"/>
                <w:b/>
                <w:szCs w:val="21"/>
              </w:rPr>
              <w:t>）</w:t>
            </w:r>
          </w:p>
        </w:tc>
        <w:tc>
          <w:tcPr>
            <w:tcW w:w="1337" w:type="dxa"/>
            <w:vAlign w:val="center"/>
          </w:tcPr>
          <w:p>
            <w:pPr>
              <w:snapToGrid w:val="0"/>
              <w:spacing w:afterLines="0" w:line="240" w:lineRule="auto"/>
              <w:jc w:val="center"/>
              <w:rPr>
                <w:szCs w:val="21"/>
              </w:rPr>
            </w:pPr>
            <w:r>
              <w:rPr>
                <w:rFonts w:hint="eastAsia"/>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81" w:hRule="atLeast"/>
          <w:jc w:val="center"/>
        </w:trPr>
        <w:tc>
          <w:tcPr>
            <w:tcW w:w="696" w:type="dxa"/>
            <w:vAlign w:val="center"/>
          </w:tcPr>
          <w:p>
            <w:pPr>
              <w:snapToGrid w:val="0"/>
              <w:spacing w:afterLines="0" w:line="240" w:lineRule="auto"/>
              <w:jc w:val="center"/>
              <w:rPr>
                <w:szCs w:val="21"/>
              </w:rPr>
            </w:pPr>
            <w:r>
              <w:rPr>
                <w:szCs w:val="21"/>
              </w:rPr>
              <w:t>1</w:t>
            </w:r>
          </w:p>
        </w:tc>
        <w:tc>
          <w:tcPr>
            <w:tcW w:w="2348" w:type="dxa"/>
            <w:vAlign w:val="center"/>
          </w:tcPr>
          <w:p>
            <w:pPr>
              <w:snapToGrid w:val="0"/>
              <w:spacing w:afterLines="0" w:line="240" w:lineRule="auto"/>
              <w:jc w:val="center"/>
              <w:rPr>
                <w:szCs w:val="21"/>
              </w:rPr>
            </w:pPr>
            <w:r>
              <w:rPr>
                <w:rFonts w:hint="eastAsia"/>
                <w:szCs w:val="21"/>
              </w:rPr>
              <w:t>证书名称</w:t>
            </w:r>
          </w:p>
        </w:tc>
        <w:tc>
          <w:tcPr>
            <w:tcW w:w="4278" w:type="dxa"/>
            <w:vAlign w:val="center"/>
          </w:tcPr>
          <w:p>
            <w:pPr>
              <w:snapToGrid w:val="0"/>
              <w:spacing w:afterLines="0" w:line="240" w:lineRule="auto"/>
              <w:jc w:val="center"/>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2</w:t>
            </w:r>
          </w:p>
        </w:tc>
        <w:tc>
          <w:tcPr>
            <w:tcW w:w="2348" w:type="dxa"/>
            <w:vAlign w:val="center"/>
          </w:tcPr>
          <w:p>
            <w:pPr>
              <w:snapToGrid w:val="0"/>
              <w:spacing w:afterLines="0" w:line="240" w:lineRule="auto"/>
              <w:jc w:val="center"/>
              <w:rPr>
                <w:szCs w:val="21"/>
              </w:rPr>
            </w:pPr>
            <w:r>
              <w:rPr>
                <w:rFonts w:hint="eastAsia"/>
                <w:szCs w:val="21"/>
              </w:rPr>
              <w:t>批准单位</w:t>
            </w:r>
          </w:p>
        </w:tc>
        <w:tc>
          <w:tcPr>
            <w:tcW w:w="4278" w:type="dxa"/>
            <w:vAlign w:val="center"/>
          </w:tcPr>
          <w:p>
            <w:pPr>
              <w:snapToGrid w:val="0"/>
              <w:spacing w:afterLines="0" w:line="240" w:lineRule="auto"/>
              <w:jc w:val="center"/>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3</w:t>
            </w:r>
          </w:p>
        </w:tc>
        <w:tc>
          <w:tcPr>
            <w:tcW w:w="2348" w:type="dxa"/>
            <w:vAlign w:val="center"/>
          </w:tcPr>
          <w:p>
            <w:pPr>
              <w:snapToGrid w:val="0"/>
              <w:spacing w:afterLines="0" w:line="240" w:lineRule="auto"/>
              <w:jc w:val="center"/>
              <w:rPr>
                <w:szCs w:val="21"/>
              </w:rPr>
            </w:pPr>
            <w:r>
              <w:rPr>
                <w:rFonts w:hint="eastAsia"/>
                <w:szCs w:val="21"/>
              </w:rPr>
              <w:t>等级</w:t>
            </w:r>
          </w:p>
        </w:tc>
        <w:tc>
          <w:tcPr>
            <w:tcW w:w="4278" w:type="dxa"/>
            <w:vAlign w:val="center"/>
          </w:tcPr>
          <w:p>
            <w:pPr>
              <w:snapToGrid w:val="0"/>
              <w:spacing w:afterLines="0" w:line="240" w:lineRule="auto"/>
              <w:jc w:val="center"/>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vAlign w:val="center"/>
          </w:tcPr>
          <w:p>
            <w:pPr>
              <w:snapToGrid w:val="0"/>
              <w:spacing w:afterLines="0" w:line="240" w:lineRule="auto"/>
              <w:jc w:val="center"/>
              <w:rPr>
                <w:szCs w:val="21"/>
              </w:rPr>
            </w:pPr>
            <w:r>
              <w:rPr>
                <w:szCs w:val="21"/>
              </w:rPr>
              <w:t>4</w:t>
            </w:r>
          </w:p>
        </w:tc>
        <w:tc>
          <w:tcPr>
            <w:tcW w:w="2348" w:type="dxa"/>
            <w:vAlign w:val="center"/>
          </w:tcPr>
          <w:p>
            <w:pPr>
              <w:snapToGrid w:val="0"/>
              <w:spacing w:afterLines="0" w:line="240" w:lineRule="auto"/>
              <w:jc w:val="center"/>
              <w:rPr>
                <w:szCs w:val="21"/>
              </w:rPr>
            </w:pPr>
            <w:r>
              <w:rPr>
                <w:rFonts w:hint="eastAsia"/>
                <w:szCs w:val="21"/>
              </w:rPr>
              <w:t>批准时间及编号</w:t>
            </w:r>
          </w:p>
        </w:tc>
        <w:tc>
          <w:tcPr>
            <w:tcW w:w="4278" w:type="dxa"/>
            <w:vAlign w:val="center"/>
          </w:tcPr>
          <w:p>
            <w:pPr>
              <w:snapToGrid w:val="0"/>
              <w:spacing w:afterLines="0" w:line="240" w:lineRule="auto"/>
              <w:jc w:val="center"/>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81" w:hRule="atLeast"/>
          <w:jc w:val="center"/>
        </w:trPr>
        <w:tc>
          <w:tcPr>
            <w:tcW w:w="696" w:type="dxa"/>
            <w:vAlign w:val="center"/>
          </w:tcPr>
          <w:p>
            <w:pPr>
              <w:snapToGrid w:val="0"/>
              <w:spacing w:afterLines="0" w:line="240" w:lineRule="auto"/>
              <w:jc w:val="center"/>
              <w:rPr>
                <w:szCs w:val="21"/>
              </w:rPr>
            </w:pPr>
            <w:r>
              <w:rPr>
                <w:szCs w:val="21"/>
              </w:rPr>
              <w:t>5</w:t>
            </w:r>
          </w:p>
        </w:tc>
        <w:tc>
          <w:tcPr>
            <w:tcW w:w="2348" w:type="dxa"/>
            <w:vAlign w:val="center"/>
          </w:tcPr>
          <w:p>
            <w:pPr>
              <w:snapToGrid w:val="0"/>
              <w:spacing w:afterLines="0" w:line="240" w:lineRule="auto"/>
              <w:jc w:val="center"/>
              <w:rPr>
                <w:szCs w:val="21"/>
              </w:rPr>
            </w:pPr>
            <w:r>
              <w:rPr>
                <w:rFonts w:hint="eastAsia"/>
                <w:szCs w:val="21"/>
              </w:rPr>
              <w:t>有效期</w:t>
            </w:r>
          </w:p>
        </w:tc>
        <w:tc>
          <w:tcPr>
            <w:tcW w:w="4278" w:type="dxa"/>
            <w:vAlign w:val="center"/>
          </w:tcPr>
          <w:p>
            <w:pPr>
              <w:snapToGrid w:val="0"/>
              <w:spacing w:afterLines="0" w:line="240" w:lineRule="auto"/>
              <w:jc w:val="center"/>
              <w:rPr>
                <w:szCs w:val="21"/>
              </w:rPr>
            </w:pPr>
          </w:p>
        </w:tc>
        <w:tc>
          <w:tcPr>
            <w:tcW w:w="1337" w:type="dxa"/>
            <w:vAlign w:val="center"/>
          </w:tcPr>
          <w:p>
            <w:pPr>
              <w:snapToGrid w:val="0"/>
              <w:spacing w:afterLines="0" w:line="24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696" w:type="dxa"/>
            <w:tcBorders>
              <w:bottom w:val="double" w:color="auto" w:sz="4" w:space="0"/>
            </w:tcBorders>
            <w:vAlign w:val="center"/>
          </w:tcPr>
          <w:p>
            <w:pPr>
              <w:snapToGrid w:val="0"/>
              <w:spacing w:afterLines="0" w:line="240" w:lineRule="auto"/>
              <w:jc w:val="center"/>
              <w:rPr>
                <w:b/>
                <w:szCs w:val="21"/>
              </w:rPr>
            </w:pPr>
            <w:r>
              <w:rPr>
                <w:rFonts w:hint="eastAsia"/>
                <w:b/>
                <w:szCs w:val="21"/>
              </w:rPr>
              <w:t>三</w:t>
            </w:r>
          </w:p>
        </w:tc>
        <w:tc>
          <w:tcPr>
            <w:tcW w:w="6626" w:type="dxa"/>
            <w:gridSpan w:val="2"/>
            <w:tcBorders>
              <w:bottom w:val="double" w:color="auto" w:sz="4" w:space="0"/>
            </w:tcBorders>
            <w:vAlign w:val="center"/>
          </w:tcPr>
          <w:p>
            <w:pPr>
              <w:snapToGrid w:val="0"/>
              <w:spacing w:afterLines="0" w:line="240" w:lineRule="auto"/>
              <w:rPr>
                <w:b/>
                <w:szCs w:val="21"/>
              </w:rPr>
            </w:pPr>
            <w:r>
              <w:rPr>
                <w:rFonts w:hint="eastAsia"/>
                <w:b/>
                <w:szCs w:val="21"/>
              </w:rPr>
              <w:t>其他</w:t>
            </w:r>
            <w:r>
              <w:rPr>
                <w:rFonts w:hint="eastAsia"/>
                <w:szCs w:val="21"/>
              </w:rPr>
              <w:t>（投标人认为需补充的其他说明）</w:t>
            </w:r>
          </w:p>
        </w:tc>
        <w:tc>
          <w:tcPr>
            <w:tcW w:w="1337" w:type="dxa"/>
            <w:tcBorders>
              <w:bottom w:val="double" w:color="auto" w:sz="4" w:space="0"/>
            </w:tcBorders>
            <w:vAlign w:val="center"/>
          </w:tcPr>
          <w:p>
            <w:pPr>
              <w:snapToGrid w:val="0"/>
              <w:spacing w:afterLines="0" w:line="240" w:lineRule="auto"/>
              <w:jc w:val="center"/>
              <w:rPr>
                <w:szCs w:val="21"/>
              </w:rPr>
            </w:pPr>
          </w:p>
        </w:tc>
      </w:tr>
    </w:tbl>
    <w:p>
      <w:pPr>
        <w:spacing w:afterLines="0"/>
        <w:rPr>
          <w:rFonts w:cs="Arial"/>
        </w:rPr>
      </w:pPr>
    </w:p>
    <w:p>
      <w:pPr>
        <w:spacing w:afterLines="0"/>
        <w:rPr>
          <w:rFonts w:cs="Arial"/>
        </w:rPr>
      </w:pPr>
      <w:r>
        <w:rPr>
          <w:rFonts w:hint="eastAsia" w:ascii="宋体" w:hAnsi="宋体" w:cs="Arial"/>
          <w:bCs/>
          <w:szCs w:val="21"/>
        </w:rPr>
        <w:t>注：在按要求填写好此表格后，各投标单位可以用其它的方式，就公司整体情况作出详细的介绍（可以提供相应文字、照片等）。</w:t>
      </w:r>
    </w:p>
    <w:p>
      <w:pPr>
        <w:spacing w:after="60"/>
        <w:rPr>
          <w:rFonts w:ascii="宋体" w:hAnsi="宋体"/>
          <w:b/>
          <w:szCs w:val="21"/>
        </w:rPr>
      </w:pPr>
    </w:p>
    <w:p>
      <w:pPr>
        <w:spacing w:after="60"/>
        <w:rPr>
          <w:rFonts w:ascii="宋体" w:hAnsi="宋体"/>
          <w:b/>
          <w:szCs w:val="21"/>
        </w:rPr>
      </w:pPr>
      <w:r>
        <w:rPr>
          <w:rFonts w:hint="eastAsia" w:ascii="宋体" w:hAnsi="宋体"/>
          <w:b/>
          <w:szCs w:val="21"/>
        </w:rPr>
        <w:t>2、供应商资格证明文件</w:t>
      </w:r>
    </w:p>
    <w:p>
      <w:pPr>
        <w:spacing w:after="60"/>
        <w:ind w:firstLine="424" w:firstLineChars="202"/>
        <w:rPr>
          <w:rFonts w:ascii="宋体" w:hAnsi="宋体" w:cs="Arial"/>
          <w:bCs/>
          <w:szCs w:val="21"/>
        </w:rPr>
      </w:pPr>
      <w:r>
        <w:rPr>
          <w:rFonts w:hint="eastAsia" w:ascii="宋体" w:hAnsi="宋体" w:cs="Arial"/>
          <w:bCs/>
          <w:szCs w:val="21"/>
        </w:rPr>
        <w:t>2.1 投标人资格要求的证明文件：</w:t>
      </w:r>
    </w:p>
    <w:p>
      <w:pPr>
        <w:spacing w:after="60"/>
        <w:ind w:firstLine="424" w:firstLineChars="202"/>
        <w:rPr>
          <w:rFonts w:ascii="宋体" w:hAnsi="宋体" w:cs="Arial"/>
          <w:bCs/>
          <w:szCs w:val="21"/>
        </w:rPr>
      </w:pPr>
      <w:r>
        <w:rPr>
          <w:rFonts w:hint="eastAsia" w:ascii="宋体" w:hAnsi="宋体" w:cs="Arial"/>
          <w:bCs/>
          <w:szCs w:val="21"/>
        </w:rPr>
        <w:t>提供</w:t>
      </w:r>
      <w:r>
        <w:rPr>
          <w:rFonts w:hint="eastAsia" w:ascii="宋体" w:hAnsi="宋体" w:cs="Arial"/>
          <w:b/>
          <w:bCs/>
          <w:szCs w:val="21"/>
        </w:rPr>
        <w:t>招标公告</w:t>
      </w:r>
      <w:r>
        <w:rPr>
          <w:rFonts w:hint="eastAsia" w:ascii="宋体" w:hAnsi="宋体" w:cs="Arial"/>
          <w:bCs/>
          <w:szCs w:val="21"/>
        </w:rPr>
        <w:t>“</w:t>
      </w:r>
      <w:r>
        <w:rPr>
          <w:rFonts w:hint="eastAsia" w:cs="仿宋" w:asciiTheme="minorEastAsia" w:hAnsiTheme="minorEastAsia" w:eastAsiaTheme="minorEastAsia"/>
          <w:b/>
          <w:szCs w:val="21"/>
        </w:rPr>
        <w:t>申请人的资格要求</w:t>
      </w:r>
      <w:r>
        <w:rPr>
          <w:rFonts w:hint="eastAsia" w:ascii="宋体" w:hAnsi="宋体" w:cs="Arial"/>
          <w:bCs/>
          <w:szCs w:val="21"/>
        </w:rPr>
        <w:t>”中要求提供的相关资格证明文件扫描件。</w:t>
      </w:r>
    </w:p>
    <w:p>
      <w:pPr>
        <w:widowControl/>
        <w:spacing w:afterLines="0" w:line="240" w:lineRule="auto"/>
        <w:jc w:val="left"/>
        <w:rPr>
          <w:rFonts w:ascii="宋体" w:hAnsi="宋体" w:cs="Arial"/>
          <w:bCs/>
          <w:szCs w:val="21"/>
        </w:rPr>
      </w:pPr>
      <w:r>
        <w:rPr>
          <w:rFonts w:ascii="宋体" w:hAnsi="宋体" w:cs="Arial"/>
          <w:bCs/>
          <w:szCs w:val="21"/>
        </w:rPr>
        <w:br w:type="page"/>
      </w:r>
    </w:p>
    <w:p>
      <w:pPr>
        <w:pStyle w:val="3"/>
        <w:pageBreakBefore/>
        <w:adjustRightInd w:val="0"/>
        <w:spacing w:afterLines="0" w:line="240" w:lineRule="auto"/>
        <w:jc w:val="center"/>
        <w:textAlignment w:val="baseline"/>
        <w:rPr>
          <w:rFonts w:ascii="宋体" w:hAnsi="宋体" w:eastAsia="宋体"/>
          <w:sz w:val="24"/>
          <w:szCs w:val="20"/>
        </w:rPr>
      </w:pPr>
      <w:r>
        <w:rPr>
          <w:rFonts w:hint="eastAsia" w:ascii="宋体" w:hAnsi="宋体" w:eastAsia="宋体"/>
          <w:sz w:val="24"/>
          <w:szCs w:val="20"/>
        </w:rPr>
        <w:t>9.同类业绩</w:t>
      </w:r>
      <w:r>
        <w:rPr>
          <w:rFonts w:ascii="宋体" w:hAnsi="宋体" w:eastAsia="宋体"/>
          <w:sz w:val="24"/>
          <w:szCs w:val="20"/>
        </w:rPr>
        <w:t xml:space="preserve"> </w:t>
      </w:r>
    </w:p>
    <w:p>
      <w:pPr>
        <w:spacing w:after="60"/>
        <w:ind w:firstLine="424" w:firstLineChars="202"/>
        <w:rPr>
          <w:rFonts w:ascii="宋体" w:hAnsi="宋体"/>
          <w:szCs w:val="21"/>
        </w:rPr>
      </w:pPr>
    </w:p>
    <w:p>
      <w:pPr>
        <w:spacing w:afterLines="0"/>
        <w:rPr>
          <w:rFonts w:ascii="宋体" w:cs="Arial"/>
          <w:szCs w:val="21"/>
        </w:rPr>
      </w:pPr>
      <w:r>
        <w:rPr>
          <w:rFonts w:hint="eastAsia" w:ascii="宋体" w:hAnsi="宋体" w:cs="Arial"/>
          <w:szCs w:val="21"/>
        </w:rPr>
        <w:t>项目名称</w:t>
      </w:r>
      <w:r>
        <w:rPr>
          <w:rFonts w:ascii="宋体" w:hAnsi="宋体" w:cs="Arial"/>
          <w:szCs w:val="21"/>
        </w:rPr>
        <w:t>__________________</w:t>
      </w:r>
    </w:p>
    <w:p>
      <w:pPr>
        <w:spacing w:afterLines="0"/>
        <w:rPr>
          <w:rFonts w:ascii="宋体" w:hAnsi="宋体" w:cs="Arial"/>
          <w:szCs w:val="21"/>
        </w:rPr>
      </w:pPr>
      <w:r>
        <w:rPr>
          <w:rFonts w:hint="eastAsia" w:ascii="宋体" w:hAnsi="宋体" w:cs="Arial"/>
          <w:szCs w:val="21"/>
        </w:rPr>
        <w:t>招标编号</w:t>
      </w:r>
      <w:r>
        <w:rPr>
          <w:rFonts w:ascii="宋体" w:hAnsi="宋体" w:cs="Arial"/>
          <w:szCs w:val="21"/>
        </w:rPr>
        <w:t>____________________</w:t>
      </w:r>
    </w:p>
    <w:p>
      <w:pPr>
        <w:spacing w:afterLines="0"/>
        <w:rPr>
          <w:rFonts w:ascii="宋体" w:cs="Arial"/>
          <w:szCs w:val="21"/>
        </w:rPr>
      </w:pPr>
      <w:r>
        <w:rPr>
          <w:rFonts w:hint="eastAsia" w:ascii="宋体" w:hAnsi="宋体" w:cs="Arial"/>
          <w:szCs w:val="21"/>
        </w:rPr>
        <w:t>包号：</w:t>
      </w:r>
      <w:r>
        <w:rPr>
          <w:rFonts w:ascii="宋体" w:hAnsi="宋体" w:cs="Arial"/>
          <w:szCs w:val="21"/>
        </w:rPr>
        <w:t>____________________</w:t>
      </w:r>
    </w:p>
    <w:p>
      <w:pPr>
        <w:spacing w:afterLines="0"/>
        <w:rPr>
          <w:rFonts w:cs="Arial"/>
        </w:rPr>
      </w:pPr>
    </w:p>
    <w:tbl>
      <w:tblPr>
        <w:tblStyle w:val="44"/>
        <w:tblW w:w="900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5"/>
        <w:gridCol w:w="1642"/>
        <w:gridCol w:w="1432"/>
        <w:gridCol w:w="1057"/>
        <w:gridCol w:w="947"/>
        <w:gridCol w:w="1324"/>
        <w:gridCol w:w="172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5" w:type="dxa"/>
          </w:tcPr>
          <w:p>
            <w:pPr>
              <w:spacing w:afterLines="0"/>
              <w:jc w:val="center"/>
              <w:rPr>
                <w:rFonts w:ascii="宋体"/>
                <w:b/>
                <w:szCs w:val="21"/>
              </w:rPr>
            </w:pPr>
            <w:r>
              <w:rPr>
                <w:rFonts w:hint="eastAsia" w:ascii="宋体" w:hAnsi="宋体"/>
                <w:b/>
                <w:szCs w:val="21"/>
              </w:rPr>
              <w:t>序号</w:t>
            </w:r>
          </w:p>
        </w:tc>
        <w:tc>
          <w:tcPr>
            <w:tcW w:w="1642" w:type="dxa"/>
          </w:tcPr>
          <w:p>
            <w:pPr>
              <w:spacing w:afterLines="0"/>
              <w:jc w:val="center"/>
              <w:rPr>
                <w:rFonts w:ascii="宋体"/>
                <w:b/>
                <w:szCs w:val="21"/>
              </w:rPr>
            </w:pPr>
            <w:r>
              <w:rPr>
                <w:rFonts w:hint="eastAsia" w:ascii="宋体" w:hAnsi="宋体"/>
                <w:b/>
                <w:szCs w:val="21"/>
              </w:rPr>
              <w:t>甲方单位</w:t>
            </w:r>
          </w:p>
        </w:tc>
        <w:tc>
          <w:tcPr>
            <w:tcW w:w="1432" w:type="dxa"/>
          </w:tcPr>
          <w:p>
            <w:pPr>
              <w:spacing w:afterLines="0"/>
              <w:jc w:val="center"/>
              <w:rPr>
                <w:rFonts w:ascii="宋体"/>
                <w:b/>
                <w:szCs w:val="21"/>
              </w:rPr>
            </w:pPr>
            <w:r>
              <w:rPr>
                <w:rFonts w:hint="eastAsia" w:cs="Arial"/>
                <w:b/>
              </w:rPr>
              <w:t>项目</w:t>
            </w:r>
            <w:r>
              <w:rPr>
                <w:rFonts w:hint="eastAsia" w:ascii="宋体" w:hAnsi="宋体"/>
                <w:b/>
                <w:szCs w:val="21"/>
              </w:rPr>
              <w:t>名称</w:t>
            </w:r>
          </w:p>
        </w:tc>
        <w:tc>
          <w:tcPr>
            <w:tcW w:w="1057" w:type="dxa"/>
          </w:tcPr>
          <w:p>
            <w:pPr>
              <w:spacing w:afterLines="0"/>
              <w:jc w:val="center"/>
              <w:rPr>
                <w:rFonts w:ascii="宋体"/>
                <w:b/>
                <w:szCs w:val="21"/>
              </w:rPr>
            </w:pPr>
            <w:r>
              <w:rPr>
                <w:rFonts w:hint="eastAsia" w:ascii="宋体" w:hAnsi="宋体"/>
                <w:b/>
                <w:szCs w:val="21"/>
              </w:rPr>
              <w:t>合同签订时间</w:t>
            </w:r>
          </w:p>
        </w:tc>
        <w:tc>
          <w:tcPr>
            <w:tcW w:w="947" w:type="dxa"/>
          </w:tcPr>
          <w:p>
            <w:pPr>
              <w:spacing w:afterLines="0"/>
              <w:jc w:val="center"/>
              <w:rPr>
                <w:rFonts w:ascii="宋体"/>
                <w:b/>
                <w:szCs w:val="21"/>
              </w:rPr>
            </w:pPr>
            <w:r>
              <w:rPr>
                <w:rFonts w:hint="eastAsia" w:ascii="宋体" w:hAnsi="宋体"/>
                <w:b/>
                <w:szCs w:val="21"/>
              </w:rPr>
              <w:t>履约/验收</w:t>
            </w:r>
          </w:p>
        </w:tc>
        <w:tc>
          <w:tcPr>
            <w:tcW w:w="1324" w:type="dxa"/>
          </w:tcPr>
          <w:p>
            <w:pPr>
              <w:spacing w:afterLines="0"/>
              <w:jc w:val="center"/>
              <w:rPr>
                <w:rFonts w:ascii="宋体"/>
                <w:b/>
                <w:szCs w:val="21"/>
              </w:rPr>
            </w:pPr>
            <w:r>
              <w:rPr>
                <w:rFonts w:hint="eastAsia" w:ascii="宋体" w:hAnsi="宋体"/>
                <w:b/>
                <w:szCs w:val="21"/>
              </w:rPr>
              <w:t>联系人</w:t>
            </w:r>
          </w:p>
        </w:tc>
        <w:tc>
          <w:tcPr>
            <w:tcW w:w="1727" w:type="dxa"/>
          </w:tcPr>
          <w:p>
            <w:pPr>
              <w:spacing w:afterLines="0"/>
              <w:jc w:val="center"/>
              <w:rPr>
                <w:rFonts w:ascii="宋体"/>
                <w:b/>
                <w:szCs w:val="21"/>
              </w:rPr>
            </w:pPr>
            <w:r>
              <w:rPr>
                <w:rFonts w:hint="eastAsia" w:ascii="宋体" w:hAnsi="宋体"/>
                <w:b/>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r>
              <w:rPr>
                <w:rFonts w:ascii="宋体"/>
                <w:szCs w:val="21"/>
              </w:rPr>
              <w:t>…</w:t>
            </w: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bl>
    <w:p>
      <w:pPr>
        <w:spacing w:after="60"/>
        <w:ind w:firstLine="424" w:firstLineChars="202"/>
        <w:rPr>
          <w:rFonts w:cs="Arial"/>
        </w:rPr>
      </w:pPr>
      <w:r>
        <w:rPr>
          <w:rFonts w:hint="eastAsia" w:cs="Arial"/>
        </w:rPr>
        <w:t>格式仅供参考，证明材料按评分表中要求将扫描件附后。</w:t>
      </w:r>
    </w:p>
    <w:p>
      <w:pPr>
        <w:widowControl/>
        <w:spacing w:afterLines="0" w:line="240" w:lineRule="auto"/>
        <w:jc w:val="left"/>
        <w:rPr>
          <w:rFonts w:ascii="宋体" w:hAnsi="宋体"/>
          <w:szCs w:val="21"/>
        </w:rPr>
      </w:pPr>
      <w:r>
        <w:rPr>
          <w:rFonts w:ascii="宋体" w:hAnsi="宋体"/>
          <w:szCs w:val="21"/>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10.拟安排的项目负责人情况（仅限一人）</w:t>
      </w:r>
      <w:r>
        <w:rPr>
          <w:rFonts w:ascii="宋体" w:hAnsi="宋体" w:eastAsia="宋体"/>
          <w:sz w:val="24"/>
          <w:szCs w:val="20"/>
        </w:rPr>
        <w:t xml:space="preserve"> </w:t>
      </w:r>
    </w:p>
    <w:p>
      <w:pPr>
        <w:spacing w:afterLines="0"/>
        <w:rPr>
          <w:rFonts w:ascii="宋体" w:cs="Arial"/>
          <w:szCs w:val="21"/>
        </w:rPr>
      </w:pPr>
      <w:r>
        <w:rPr>
          <w:rFonts w:hint="eastAsia" w:ascii="宋体" w:hAnsi="宋体" w:cs="Arial"/>
          <w:szCs w:val="21"/>
        </w:rPr>
        <w:t>项目名称:</w:t>
      </w:r>
      <w:r>
        <w:rPr>
          <w:rFonts w:ascii="宋体" w:hAnsi="宋体" w:cs="Arial"/>
          <w:szCs w:val="21"/>
        </w:rPr>
        <w:t>__________________</w:t>
      </w:r>
    </w:p>
    <w:p>
      <w:pPr>
        <w:spacing w:afterLines="0"/>
        <w:rPr>
          <w:rFonts w:ascii="宋体" w:hAnsi="宋体" w:cs="Arial"/>
          <w:szCs w:val="21"/>
        </w:rPr>
      </w:pPr>
      <w:r>
        <w:rPr>
          <w:rFonts w:hint="eastAsia" w:ascii="宋体" w:hAnsi="宋体" w:cs="Arial"/>
          <w:szCs w:val="21"/>
        </w:rPr>
        <w:t>招标编号:</w:t>
      </w:r>
      <w:r>
        <w:rPr>
          <w:rFonts w:ascii="宋体" w:hAnsi="宋体" w:cs="Arial"/>
          <w:szCs w:val="21"/>
        </w:rPr>
        <w:t>____________________</w:t>
      </w:r>
    </w:p>
    <w:p>
      <w:pPr>
        <w:spacing w:afterLines="0"/>
        <w:rPr>
          <w:rFonts w:cs="Arial"/>
        </w:rPr>
      </w:pPr>
      <w:r>
        <w:rPr>
          <w:rFonts w:hint="eastAsia" w:ascii="宋体" w:hAnsi="宋体" w:cs="Arial"/>
          <w:szCs w:val="21"/>
        </w:rPr>
        <w:t>包号:</w:t>
      </w:r>
      <w:r>
        <w:rPr>
          <w:rFonts w:ascii="宋体" w:hAnsi="宋体" w:cs="Arial"/>
          <w:szCs w:val="21"/>
        </w:rPr>
        <w:t>____________________</w:t>
      </w:r>
    </w:p>
    <w:tbl>
      <w:tblPr>
        <w:tblStyle w:val="44"/>
        <w:tblW w:w="9323"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392"/>
        <w:gridCol w:w="1947"/>
        <w:gridCol w:w="1947"/>
        <w:gridCol w:w="1947"/>
        <w:gridCol w:w="1199"/>
        <w:gridCol w:w="891"/>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392" w:type="dxa"/>
            <w:vAlign w:val="center"/>
          </w:tcPr>
          <w:p>
            <w:pPr>
              <w:spacing w:afterLines="0"/>
              <w:rPr>
                <w:rFonts w:ascii="宋体"/>
                <w:szCs w:val="21"/>
              </w:rPr>
            </w:pPr>
            <w:r>
              <w:rPr>
                <w:rFonts w:hint="eastAsia" w:ascii="宋体" w:hAnsi="宋体"/>
                <w:szCs w:val="21"/>
              </w:rPr>
              <w:t>姓名</w:t>
            </w:r>
          </w:p>
        </w:tc>
        <w:tc>
          <w:tcPr>
            <w:tcW w:w="1947" w:type="dxa"/>
          </w:tcPr>
          <w:p>
            <w:pPr>
              <w:spacing w:afterLines="0"/>
              <w:rPr>
                <w:rFonts w:ascii="宋体" w:hAnsi="宋体"/>
                <w:szCs w:val="21"/>
              </w:rPr>
            </w:pPr>
            <w:r>
              <w:rPr>
                <w:rFonts w:hint="eastAsia" w:ascii="宋体" w:hAnsi="宋体"/>
                <w:szCs w:val="21"/>
              </w:rPr>
              <w:t>学历</w:t>
            </w:r>
          </w:p>
        </w:tc>
        <w:tc>
          <w:tcPr>
            <w:tcW w:w="1947" w:type="dxa"/>
          </w:tcPr>
          <w:p>
            <w:pPr>
              <w:spacing w:afterLines="0"/>
              <w:rPr>
                <w:rFonts w:ascii="宋体" w:hAnsi="宋体"/>
                <w:szCs w:val="21"/>
              </w:rPr>
            </w:pPr>
            <w:r>
              <w:rPr>
                <w:rFonts w:hint="eastAsia" w:ascii="宋体" w:hAnsi="宋体"/>
                <w:szCs w:val="21"/>
              </w:rPr>
              <w:t>职称</w:t>
            </w:r>
          </w:p>
        </w:tc>
        <w:tc>
          <w:tcPr>
            <w:tcW w:w="1947" w:type="dxa"/>
            <w:vAlign w:val="center"/>
          </w:tcPr>
          <w:p>
            <w:pPr>
              <w:spacing w:afterLines="0"/>
              <w:rPr>
                <w:rFonts w:ascii="宋体"/>
                <w:szCs w:val="21"/>
              </w:rPr>
            </w:pPr>
            <w:r>
              <w:rPr>
                <w:rFonts w:hint="eastAsia" w:ascii="宋体" w:hAnsi="宋体"/>
                <w:szCs w:val="21"/>
              </w:rPr>
              <w:t>资格</w:t>
            </w:r>
          </w:p>
        </w:tc>
        <w:tc>
          <w:tcPr>
            <w:tcW w:w="1199" w:type="dxa"/>
            <w:tcBorders>
              <w:right w:val="single" w:color="auto" w:sz="4" w:space="0"/>
            </w:tcBorders>
          </w:tcPr>
          <w:p>
            <w:pPr>
              <w:spacing w:afterLines="0"/>
              <w:rPr>
                <w:rFonts w:ascii="宋体" w:hAnsi="宋体"/>
                <w:szCs w:val="21"/>
              </w:rPr>
            </w:pPr>
            <w:r>
              <w:rPr>
                <w:rFonts w:ascii="宋体" w:hAnsi="宋体"/>
                <w:szCs w:val="21"/>
              </w:rPr>
              <w:t>工作经验</w:t>
            </w:r>
          </w:p>
        </w:tc>
        <w:tc>
          <w:tcPr>
            <w:tcW w:w="891" w:type="dxa"/>
            <w:tcBorders>
              <w:left w:val="single" w:color="auto" w:sz="4" w:space="0"/>
            </w:tcBorders>
          </w:tcPr>
          <w:p>
            <w:pPr>
              <w:spacing w:afterLines="0"/>
              <w:rPr>
                <w:rFonts w:ascii="宋体" w:hAnsi="宋体"/>
                <w:szCs w:val="21"/>
              </w:rPr>
            </w:pPr>
            <w:r>
              <w:rPr>
                <w:rFonts w:ascii="宋体" w:hAnsi="宋体"/>
                <w:szCs w:val="21"/>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392" w:type="dxa"/>
            <w:vAlign w:val="center"/>
          </w:tcPr>
          <w:p>
            <w:pPr>
              <w:spacing w:afterLines="0"/>
              <w:rPr>
                <w:rFonts w:ascii="宋体"/>
                <w:szCs w:val="21"/>
              </w:rPr>
            </w:pPr>
          </w:p>
        </w:tc>
        <w:tc>
          <w:tcPr>
            <w:tcW w:w="1947" w:type="dxa"/>
          </w:tcPr>
          <w:p>
            <w:pPr>
              <w:spacing w:afterLines="0"/>
              <w:rPr>
                <w:rFonts w:ascii="宋体"/>
                <w:szCs w:val="21"/>
              </w:rPr>
            </w:pPr>
          </w:p>
        </w:tc>
        <w:tc>
          <w:tcPr>
            <w:tcW w:w="1947" w:type="dxa"/>
          </w:tcPr>
          <w:p>
            <w:pPr>
              <w:spacing w:afterLines="0"/>
              <w:rPr>
                <w:rFonts w:ascii="宋体"/>
                <w:szCs w:val="21"/>
              </w:rPr>
            </w:pPr>
          </w:p>
        </w:tc>
        <w:tc>
          <w:tcPr>
            <w:tcW w:w="1947" w:type="dxa"/>
            <w:vAlign w:val="center"/>
          </w:tcPr>
          <w:p>
            <w:pPr>
              <w:spacing w:afterLines="0"/>
              <w:rPr>
                <w:rFonts w:ascii="宋体"/>
                <w:szCs w:val="21"/>
              </w:rPr>
            </w:pPr>
          </w:p>
        </w:tc>
        <w:tc>
          <w:tcPr>
            <w:tcW w:w="1199" w:type="dxa"/>
            <w:tcBorders>
              <w:right w:val="single" w:color="auto" w:sz="4" w:space="0"/>
            </w:tcBorders>
          </w:tcPr>
          <w:p>
            <w:pPr>
              <w:spacing w:afterLines="0"/>
              <w:rPr>
                <w:rFonts w:ascii="宋体"/>
                <w:szCs w:val="21"/>
              </w:rPr>
            </w:pPr>
          </w:p>
        </w:tc>
        <w:tc>
          <w:tcPr>
            <w:tcW w:w="891" w:type="dxa"/>
            <w:tcBorders>
              <w:left w:val="single" w:color="auto" w:sz="4" w:space="0"/>
            </w:tcBorders>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392" w:type="dxa"/>
            <w:vAlign w:val="center"/>
          </w:tcPr>
          <w:p>
            <w:pPr>
              <w:spacing w:afterLines="0"/>
              <w:rPr>
                <w:rFonts w:ascii="宋体"/>
                <w:szCs w:val="21"/>
              </w:rPr>
            </w:pPr>
          </w:p>
        </w:tc>
        <w:tc>
          <w:tcPr>
            <w:tcW w:w="1947" w:type="dxa"/>
          </w:tcPr>
          <w:p>
            <w:pPr>
              <w:spacing w:afterLines="0"/>
              <w:rPr>
                <w:rFonts w:ascii="宋体"/>
                <w:szCs w:val="21"/>
              </w:rPr>
            </w:pPr>
          </w:p>
        </w:tc>
        <w:tc>
          <w:tcPr>
            <w:tcW w:w="1947" w:type="dxa"/>
          </w:tcPr>
          <w:p>
            <w:pPr>
              <w:spacing w:afterLines="0"/>
              <w:rPr>
                <w:rFonts w:ascii="宋体"/>
                <w:szCs w:val="21"/>
              </w:rPr>
            </w:pPr>
          </w:p>
        </w:tc>
        <w:tc>
          <w:tcPr>
            <w:tcW w:w="1947" w:type="dxa"/>
            <w:vAlign w:val="center"/>
          </w:tcPr>
          <w:p>
            <w:pPr>
              <w:spacing w:afterLines="0"/>
              <w:rPr>
                <w:rFonts w:ascii="宋体"/>
                <w:szCs w:val="21"/>
              </w:rPr>
            </w:pPr>
          </w:p>
        </w:tc>
        <w:tc>
          <w:tcPr>
            <w:tcW w:w="1199" w:type="dxa"/>
            <w:tcBorders>
              <w:right w:val="single" w:color="auto" w:sz="4" w:space="0"/>
            </w:tcBorders>
          </w:tcPr>
          <w:p>
            <w:pPr>
              <w:spacing w:afterLines="0"/>
              <w:rPr>
                <w:rFonts w:ascii="宋体"/>
                <w:szCs w:val="21"/>
              </w:rPr>
            </w:pPr>
          </w:p>
        </w:tc>
        <w:tc>
          <w:tcPr>
            <w:tcW w:w="891" w:type="dxa"/>
            <w:tcBorders>
              <w:left w:val="single" w:color="auto" w:sz="4" w:space="0"/>
            </w:tcBorders>
          </w:tcPr>
          <w:p>
            <w:pPr>
              <w:spacing w:afterLines="0"/>
              <w:rPr>
                <w:rFonts w:ascii="宋体"/>
                <w:szCs w:val="21"/>
              </w:rPr>
            </w:pPr>
          </w:p>
        </w:tc>
      </w:tr>
    </w:tbl>
    <w:p>
      <w:pPr>
        <w:widowControl/>
        <w:spacing w:afterLines="0" w:line="240" w:lineRule="auto"/>
        <w:jc w:val="left"/>
        <w:rPr>
          <w:rFonts w:ascii="宋体" w:hAnsi="宋体"/>
          <w:kern w:val="0"/>
          <w:szCs w:val="21"/>
        </w:rPr>
      </w:pPr>
      <w:r>
        <w:rPr>
          <w:rFonts w:hint="eastAsia"/>
          <w:bCs/>
          <w:kern w:val="0"/>
          <w:szCs w:val="21"/>
        </w:rPr>
        <w:t>此表格式仅供参考。</w:t>
      </w:r>
      <w:r>
        <w:rPr>
          <w:rFonts w:hint="eastAsia" w:ascii="宋体" w:hAnsi="宋体"/>
          <w:kern w:val="0"/>
          <w:szCs w:val="21"/>
        </w:rPr>
        <w:t>根据评分表要求提供相应人员的证明材料扫描件附后。</w:t>
      </w:r>
    </w:p>
    <w:p>
      <w:pPr>
        <w:widowControl/>
        <w:spacing w:afterLines="0" w:line="240" w:lineRule="auto"/>
        <w:jc w:val="left"/>
        <w:rPr>
          <w:rFonts w:ascii="宋体" w:hAnsi="宋体"/>
          <w:kern w:val="0"/>
          <w:szCs w:val="21"/>
        </w:rPr>
      </w:pPr>
      <w:r>
        <w:rPr>
          <w:rFonts w:ascii="宋体" w:hAnsi="宋体"/>
          <w:kern w:val="0"/>
          <w:szCs w:val="21"/>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11.拟安排的项目团队成员情况（项目负责人除外）</w:t>
      </w:r>
    </w:p>
    <w:p>
      <w:pPr>
        <w:spacing w:afterLines="0"/>
        <w:rPr>
          <w:rFonts w:ascii="宋体" w:cs="Arial"/>
          <w:szCs w:val="21"/>
        </w:rPr>
      </w:pPr>
      <w:r>
        <w:rPr>
          <w:rFonts w:hint="eastAsia" w:ascii="宋体" w:hAnsi="宋体" w:cs="Arial"/>
          <w:szCs w:val="21"/>
        </w:rPr>
        <w:t>项目名称:</w:t>
      </w:r>
      <w:r>
        <w:rPr>
          <w:rFonts w:ascii="宋体" w:hAnsi="宋体" w:cs="Arial"/>
          <w:szCs w:val="21"/>
        </w:rPr>
        <w:t>__________________</w:t>
      </w:r>
    </w:p>
    <w:p>
      <w:pPr>
        <w:spacing w:afterLines="0"/>
        <w:rPr>
          <w:rFonts w:ascii="宋体" w:hAnsi="宋体" w:cs="Arial"/>
          <w:szCs w:val="21"/>
        </w:rPr>
      </w:pPr>
      <w:r>
        <w:rPr>
          <w:rFonts w:hint="eastAsia" w:ascii="宋体" w:hAnsi="宋体" w:cs="Arial"/>
          <w:szCs w:val="21"/>
        </w:rPr>
        <w:t>招标编号:</w:t>
      </w:r>
      <w:r>
        <w:rPr>
          <w:rFonts w:ascii="宋体" w:hAnsi="宋体" w:cs="Arial"/>
          <w:szCs w:val="21"/>
        </w:rPr>
        <w:t>____________________</w:t>
      </w:r>
    </w:p>
    <w:p>
      <w:pPr>
        <w:spacing w:afterLines="0"/>
        <w:rPr>
          <w:rFonts w:cs="Arial"/>
        </w:rPr>
      </w:pPr>
      <w:r>
        <w:rPr>
          <w:rFonts w:hint="eastAsia" w:ascii="宋体" w:hAnsi="宋体" w:cs="Arial"/>
          <w:szCs w:val="21"/>
        </w:rPr>
        <w:t>包号:</w:t>
      </w:r>
      <w:r>
        <w:rPr>
          <w:rFonts w:ascii="宋体" w:hAnsi="宋体" w:cs="Arial"/>
          <w:szCs w:val="21"/>
        </w:rPr>
        <w:t>____________________</w:t>
      </w:r>
    </w:p>
    <w:tbl>
      <w:tblPr>
        <w:tblStyle w:val="44"/>
        <w:tblW w:w="9323"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392"/>
        <w:gridCol w:w="1947"/>
        <w:gridCol w:w="1947"/>
        <w:gridCol w:w="1947"/>
        <w:gridCol w:w="209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1392" w:type="dxa"/>
            <w:vAlign w:val="center"/>
          </w:tcPr>
          <w:p>
            <w:pPr>
              <w:spacing w:afterLines="0"/>
              <w:rPr>
                <w:rFonts w:ascii="宋体"/>
                <w:szCs w:val="21"/>
              </w:rPr>
            </w:pPr>
            <w:r>
              <w:rPr>
                <w:rFonts w:hint="eastAsia" w:ascii="宋体" w:hAnsi="宋体"/>
                <w:szCs w:val="21"/>
              </w:rPr>
              <w:t>姓名</w:t>
            </w:r>
          </w:p>
        </w:tc>
        <w:tc>
          <w:tcPr>
            <w:tcW w:w="1947" w:type="dxa"/>
          </w:tcPr>
          <w:p>
            <w:pPr>
              <w:spacing w:afterLines="0"/>
              <w:rPr>
                <w:rFonts w:ascii="宋体" w:hAnsi="宋体"/>
                <w:szCs w:val="21"/>
              </w:rPr>
            </w:pPr>
            <w:r>
              <w:rPr>
                <w:rFonts w:hint="eastAsia" w:ascii="宋体" w:hAnsi="宋体"/>
                <w:szCs w:val="21"/>
              </w:rPr>
              <w:t>学历</w:t>
            </w:r>
          </w:p>
        </w:tc>
        <w:tc>
          <w:tcPr>
            <w:tcW w:w="1947" w:type="dxa"/>
          </w:tcPr>
          <w:p>
            <w:pPr>
              <w:spacing w:afterLines="0"/>
              <w:rPr>
                <w:rFonts w:ascii="宋体" w:hAnsi="宋体"/>
                <w:szCs w:val="21"/>
              </w:rPr>
            </w:pPr>
            <w:r>
              <w:rPr>
                <w:rFonts w:hint="eastAsia" w:ascii="宋体" w:hAnsi="宋体"/>
                <w:szCs w:val="21"/>
              </w:rPr>
              <w:t>职称</w:t>
            </w:r>
          </w:p>
        </w:tc>
        <w:tc>
          <w:tcPr>
            <w:tcW w:w="1947" w:type="dxa"/>
            <w:vAlign w:val="center"/>
          </w:tcPr>
          <w:p>
            <w:pPr>
              <w:spacing w:afterLines="0"/>
              <w:rPr>
                <w:rFonts w:ascii="宋体"/>
                <w:szCs w:val="21"/>
              </w:rPr>
            </w:pPr>
            <w:r>
              <w:rPr>
                <w:rFonts w:hint="eastAsia" w:ascii="宋体" w:hAnsi="宋体"/>
                <w:szCs w:val="21"/>
              </w:rPr>
              <w:t>资格</w:t>
            </w:r>
          </w:p>
        </w:tc>
        <w:tc>
          <w:tcPr>
            <w:tcW w:w="2090" w:type="dxa"/>
          </w:tcPr>
          <w:p>
            <w:pPr>
              <w:spacing w:afterLines="0"/>
              <w:jc w:val="center"/>
              <w:rPr>
                <w:rFonts w:ascii="宋体" w:hAnsi="宋体"/>
                <w:szCs w:val="21"/>
              </w:rPr>
            </w:pPr>
            <w:r>
              <w:rPr>
                <w:rFonts w:ascii="宋体" w:hAnsi="宋体"/>
                <w:szCs w:val="21"/>
              </w:rPr>
              <w:t>其他</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0" w:hRule="atLeast"/>
        </w:trPr>
        <w:tc>
          <w:tcPr>
            <w:tcW w:w="1392" w:type="dxa"/>
            <w:vAlign w:val="center"/>
          </w:tcPr>
          <w:p>
            <w:pPr>
              <w:spacing w:afterLines="0"/>
              <w:rPr>
                <w:rFonts w:ascii="宋体"/>
                <w:szCs w:val="21"/>
              </w:rPr>
            </w:pPr>
          </w:p>
        </w:tc>
        <w:tc>
          <w:tcPr>
            <w:tcW w:w="1947" w:type="dxa"/>
          </w:tcPr>
          <w:p>
            <w:pPr>
              <w:spacing w:afterLines="0"/>
              <w:rPr>
                <w:rFonts w:ascii="宋体"/>
                <w:szCs w:val="21"/>
              </w:rPr>
            </w:pPr>
          </w:p>
        </w:tc>
        <w:tc>
          <w:tcPr>
            <w:tcW w:w="1947" w:type="dxa"/>
          </w:tcPr>
          <w:p>
            <w:pPr>
              <w:spacing w:afterLines="0"/>
              <w:rPr>
                <w:rFonts w:ascii="宋体"/>
                <w:szCs w:val="21"/>
              </w:rPr>
            </w:pPr>
          </w:p>
        </w:tc>
        <w:tc>
          <w:tcPr>
            <w:tcW w:w="1947" w:type="dxa"/>
            <w:vAlign w:val="center"/>
          </w:tcPr>
          <w:p>
            <w:pPr>
              <w:spacing w:afterLines="0"/>
              <w:rPr>
                <w:rFonts w:ascii="宋体"/>
                <w:szCs w:val="21"/>
              </w:rPr>
            </w:pPr>
          </w:p>
        </w:tc>
        <w:tc>
          <w:tcPr>
            <w:tcW w:w="2090" w:type="dxa"/>
          </w:tcPr>
          <w:p>
            <w:pPr>
              <w:spacing w:afterLines="0"/>
              <w:jc w:val="center"/>
              <w:rPr>
                <w:rFonts w:ascii="宋体"/>
                <w:szCs w:val="21"/>
              </w:rPr>
            </w:pPr>
          </w:p>
        </w:tc>
      </w:tr>
    </w:tbl>
    <w:p>
      <w:pPr>
        <w:widowControl/>
        <w:spacing w:afterLines="0" w:line="240" w:lineRule="auto"/>
        <w:jc w:val="left"/>
        <w:rPr>
          <w:rFonts w:ascii="宋体" w:hAnsi="宋体"/>
          <w:kern w:val="0"/>
          <w:szCs w:val="21"/>
        </w:rPr>
      </w:pPr>
      <w:r>
        <w:rPr>
          <w:rFonts w:hint="eastAsia"/>
          <w:bCs/>
          <w:kern w:val="0"/>
          <w:szCs w:val="21"/>
        </w:rPr>
        <w:t>此表格式仅供参考。</w:t>
      </w:r>
      <w:r>
        <w:rPr>
          <w:rFonts w:hint="eastAsia" w:ascii="宋体" w:hAnsi="宋体"/>
          <w:kern w:val="0"/>
          <w:szCs w:val="21"/>
        </w:rPr>
        <w:t>根据评分表要求提供相应人员的证明材料扫描件附后。</w:t>
      </w:r>
    </w:p>
    <w:p>
      <w:pPr>
        <w:widowControl/>
        <w:spacing w:afterLines="0" w:line="240" w:lineRule="auto"/>
        <w:jc w:val="left"/>
        <w:rPr>
          <w:rFonts w:cs="Arial"/>
        </w:rPr>
      </w:pPr>
      <w:r>
        <w:rPr>
          <w:rFonts w:cs="Arial"/>
        </w:rPr>
        <w:br w:type="page"/>
      </w:r>
    </w:p>
    <w:p>
      <w:pPr>
        <w:pStyle w:val="3"/>
        <w:pageBreakBefore/>
        <w:adjustRightInd w:val="0"/>
        <w:spacing w:after="60" w:line="240" w:lineRule="auto"/>
        <w:jc w:val="center"/>
        <w:textAlignment w:val="baseline"/>
        <w:rPr>
          <w:rFonts w:cs="Arial" w:asciiTheme="minorEastAsia" w:hAnsiTheme="minorEastAsia" w:eastAsiaTheme="minorEastAsia"/>
          <w:bCs w:val="0"/>
          <w:sz w:val="24"/>
          <w:szCs w:val="24"/>
        </w:rPr>
      </w:pPr>
      <w:r>
        <w:rPr>
          <w:rFonts w:hint="eastAsia" w:cs="Arial" w:asciiTheme="minorEastAsia" w:hAnsiTheme="minorEastAsia" w:eastAsiaTheme="minorEastAsia"/>
          <w:bCs w:val="0"/>
          <w:sz w:val="24"/>
          <w:szCs w:val="24"/>
        </w:rPr>
        <w:t>12.企业认证</w:t>
      </w:r>
      <w:r>
        <w:rPr>
          <w:rFonts w:cs="Arial" w:asciiTheme="minorEastAsia" w:hAnsiTheme="minorEastAsia" w:eastAsiaTheme="minorEastAsia"/>
          <w:bCs w:val="0"/>
          <w:sz w:val="24"/>
          <w:szCs w:val="24"/>
        </w:rPr>
        <w:t xml:space="preserve"> </w:t>
      </w:r>
    </w:p>
    <w:p>
      <w:pPr>
        <w:spacing w:after="60"/>
        <w:ind w:firstLine="424" w:firstLineChars="202"/>
        <w:rPr>
          <w:rFonts w:cs="Arial"/>
        </w:rPr>
      </w:pPr>
      <w:r>
        <w:rPr>
          <w:rFonts w:hint="eastAsia" w:cs="Arial"/>
        </w:rPr>
        <w:t>格式自拟，</w:t>
      </w:r>
      <w:r>
        <w:rPr>
          <w:rFonts w:hint="eastAsia" w:cs="Arial"/>
          <w:szCs w:val="21"/>
        </w:rPr>
        <w:t>按招标文件评分表要求提供相应的证明材料扫描件。</w:t>
      </w:r>
    </w:p>
    <w:p>
      <w:pPr>
        <w:spacing w:after="60"/>
        <w:rPr>
          <w:rFonts w:cs="Arial"/>
        </w:rPr>
      </w:pPr>
    </w:p>
    <w:p>
      <w:pPr>
        <w:widowControl/>
        <w:spacing w:afterLines="0" w:line="240" w:lineRule="auto"/>
        <w:jc w:val="left"/>
        <w:rPr>
          <w:rFonts w:cs="Arial"/>
        </w:rPr>
      </w:pPr>
      <w:r>
        <w:rPr>
          <w:rFonts w:cs="Arial"/>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13</w:t>
      </w:r>
      <w:r>
        <w:rPr>
          <w:rFonts w:ascii="宋体" w:hAnsi="宋体" w:eastAsia="宋体"/>
          <w:sz w:val="24"/>
          <w:szCs w:val="20"/>
        </w:rPr>
        <w:t>.</w:t>
      </w:r>
      <w:r>
        <w:rPr>
          <w:rFonts w:hint="eastAsia" w:ascii="宋体" w:hAnsi="宋体" w:eastAsia="宋体"/>
          <w:sz w:val="24"/>
          <w:szCs w:val="20"/>
        </w:rPr>
        <w:t>履约评价情况</w:t>
      </w:r>
      <w:r>
        <w:rPr>
          <w:rFonts w:ascii="宋体" w:hAnsi="宋体" w:eastAsia="宋体"/>
          <w:sz w:val="24"/>
          <w:szCs w:val="20"/>
        </w:rPr>
        <w:t xml:space="preserve"> </w:t>
      </w:r>
    </w:p>
    <w:p>
      <w:pPr>
        <w:widowControl/>
        <w:spacing w:afterLines="0" w:line="240" w:lineRule="auto"/>
        <w:jc w:val="left"/>
        <w:rPr>
          <w:bCs/>
          <w:kern w:val="0"/>
          <w:szCs w:val="21"/>
        </w:rPr>
      </w:pPr>
    </w:p>
    <w:p>
      <w:pPr>
        <w:widowControl/>
        <w:spacing w:afterLines="0" w:line="240" w:lineRule="auto"/>
        <w:jc w:val="left"/>
        <w:rPr>
          <w:bCs/>
          <w:kern w:val="0"/>
          <w:szCs w:val="21"/>
        </w:rPr>
      </w:pPr>
    </w:p>
    <w:p>
      <w:pPr>
        <w:spacing w:afterLines="0"/>
        <w:rPr>
          <w:rFonts w:cs="Arial"/>
        </w:rPr>
      </w:pPr>
    </w:p>
    <w:tbl>
      <w:tblPr>
        <w:tblStyle w:val="44"/>
        <w:tblW w:w="900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5"/>
        <w:gridCol w:w="1642"/>
        <w:gridCol w:w="1432"/>
        <w:gridCol w:w="1057"/>
        <w:gridCol w:w="947"/>
        <w:gridCol w:w="1324"/>
        <w:gridCol w:w="172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5" w:type="dxa"/>
          </w:tcPr>
          <w:p>
            <w:pPr>
              <w:spacing w:afterLines="0"/>
              <w:jc w:val="center"/>
              <w:rPr>
                <w:rFonts w:ascii="宋体"/>
                <w:b/>
                <w:szCs w:val="21"/>
              </w:rPr>
            </w:pPr>
            <w:r>
              <w:rPr>
                <w:rFonts w:hint="eastAsia" w:ascii="宋体" w:hAnsi="宋体"/>
                <w:b/>
                <w:szCs w:val="21"/>
              </w:rPr>
              <w:t>序号</w:t>
            </w:r>
          </w:p>
        </w:tc>
        <w:tc>
          <w:tcPr>
            <w:tcW w:w="1642" w:type="dxa"/>
          </w:tcPr>
          <w:p>
            <w:pPr>
              <w:spacing w:afterLines="0"/>
              <w:jc w:val="center"/>
              <w:rPr>
                <w:rFonts w:ascii="宋体"/>
                <w:b/>
                <w:szCs w:val="21"/>
              </w:rPr>
            </w:pPr>
            <w:r>
              <w:rPr>
                <w:rFonts w:hint="eastAsia" w:ascii="宋体" w:hAnsi="宋体"/>
                <w:b/>
                <w:szCs w:val="21"/>
              </w:rPr>
              <w:t>甲方单位</w:t>
            </w:r>
          </w:p>
        </w:tc>
        <w:tc>
          <w:tcPr>
            <w:tcW w:w="1432" w:type="dxa"/>
          </w:tcPr>
          <w:p>
            <w:pPr>
              <w:spacing w:afterLines="0"/>
              <w:jc w:val="center"/>
              <w:rPr>
                <w:rFonts w:ascii="宋体"/>
                <w:b/>
                <w:szCs w:val="21"/>
              </w:rPr>
            </w:pPr>
            <w:r>
              <w:rPr>
                <w:rFonts w:hint="eastAsia" w:cs="Arial"/>
                <w:b/>
              </w:rPr>
              <w:t>项目</w:t>
            </w:r>
            <w:r>
              <w:rPr>
                <w:rFonts w:hint="eastAsia" w:ascii="宋体" w:hAnsi="宋体"/>
                <w:b/>
                <w:szCs w:val="21"/>
              </w:rPr>
              <w:t>名称</w:t>
            </w:r>
          </w:p>
        </w:tc>
        <w:tc>
          <w:tcPr>
            <w:tcW w:w="1057" w:type="dxa"/>
          </w:tcPr>
          <w:p>
            <w:pPr>
              <w:spacing w:afterLines="0"/>
              <w:jc w:val="center"/>
              <w:rPr>
                <w:rFonts w:ascii="宋体"/>
                <w:b/>
                <w:szCs w:val="21"/>
              </w:rPr>
            </w:pPr>
            <w:r>
              <w:rPr>
                <w:rFonts w:hint="eastAsia" w:ascii="宋体" w:hAnsi="宋体"/>
                <w:b/>
                <w:szCs w:val="21"/>
              </w:rPr>
              <w:t>合同签订时间</w:t>
            </w:r>
          </w:p>
        </w:tc>
        <w:tc>
          <w:tcPr>
            <w:tcW w:w="947" w:type="dxa"/>
          </w:tcPr>
          <w:p>
            <w:pPr>
              <w:spacing w:afterLines="0"/>
              <w:jc w:val="center"/>
              <w:rPr>
                <w:rFonts w:ascii="宋体"/>
                <w:b/>
                <w:szCs w:val="21"/>
              </w:rPr>
            </w:pPr>
            <w:r>
              <w:rPr>
                <w:rFonts w:hint="eastAsia" w:ascii="宋体" w:hAnsi="宋体"/>
                <w:b/>
                <w:szCs w:val="21"/>
              </w:rPr>
              <w:t>履约/验收</w:t>
            </w:r>
          </w:p>
        </w:tc>
        <w:tc>
          <w:tcPr>
            <w:tcW w:w="1324" w:type="dxa"/>
          </w:tcPr>
          <w:p>
            <w:pPr>
              <w:spacing w:afterLines="0"/>
              <w:jc w:val="center"/>
              <w:rPr>
                <w:rFonts w:ascii="宋体"/>
                <w:b/>
                <w:szCs w:val="21"/>
              </w:rPr>
            </w:pPr>
            <w:r>
              <w:rPr>
                <w:rFonts w:hint="eastAsia" w:ascii="宋体" w:hAnsi="宋体"/>
                <w:b/>
                <w:szCs w:val="21"/>
              </w:rPr>
              <w:t>联系人</w:t>
            </w:r>
          </w:p>
        </w:tc>
        <w:tc>
          <w:tcPr>
            <w:tcW w:w="1727" w:type="dxa"/>
          </w:tcPr>
          <w:p>
            <w:pPr>
              <w:spacing w:afterLines="0"/>
              <w:jc w:val="center"/>
              <w:rPr>
                <w:rFonts w:ascii="宋体"/>
                <w:b/>
                <w:szCs w:val="21"/>
              </w:rPr>
            </w:pPr>
            <w:r>
              <w:rPr>
                <w:rFonts w:hint="eastAsia" w:ascii="宋体" w:hAnsi="宋体"/>
                <w:b/>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875" w:type="dxa"/>
          </w:tcPr>
          <w:p>
            <w:pPr>
              <w:spacing w:afterLines="0"/>
              <w:rPr>
                <w:rFonts w:ascii="宋体"/>
                <w:szCs w:val="21"/>
              </w:rPr>
            </w:pPr>
            <w:r>
              <w:rPr>
                <w:rFonts w:ascii="宋体"/>
                <w:szCs w:val="21"/>
              </w:rPr>
              <w:t>…</w:t>
            </w:r>
          </w:p>
        </w:tc>
        <w:tc>
          <w:tcPr>
            <w:tcW w:w="1642" w:type="dxa"/>
          </w:tcPr>
          <w:p>
            <w:pPr>
              <w:spacing w:afterLines="0"/>
              <w:rPr>
                <w:rFonts w:ascii="宋体"/>
                <w:szCs w:val="21"/>
              </w:rPr>
            </w:pPr>
          </w:p>
        </w:tc>
        <w:tc>
          <w:tcPr>
            <w:tcW w:w="1432" w:type="dxa"/>
          </w:tcPr>
          <w:p>
            <w:pPr>
              <w:spacing w:afterLines="0"/>
              <w:rPr>
                <w:rFonts w:ascii="宋体"/>
                <w:szCs w:val="21"/>
              </w:rPr>
            </w:pPr>
          </w:p>
        </w:tc>
        <w:tc>
          <w:tcPr>
            <w:tcW w:w="1057" w:type="dxa"/>
          </w:tcPr>
          <w:p>
            <w:pPr>
              <w:spacing w:afterLines="0"/>
              <w:rPr>
                <w:rFonts w:ascii="宋体"/>
                <w:szCs w:val="21"/>
              </w:rPr>
            </w:pPr>
          </w:p>
        </w:tc>
        <w:tc>
          <w:tcPr>
            <w:tcW w:w="947" w:type="dxa"/>
          </w:tcPr>
          <w:p>
            <w:pPr>
              <w:spacing w:afterLines="0"/>
              <w:rPr>
                <w:rFonts w:ascii="宋体"/>
                <w:szCs w:val="21"/>
              </w:rPr>
            </w:pPr>
          </w:p>
        </w:tc>
        <w:tc>
          <w:tcPr>
            <w:tcW w:w="1324" w:type="dxa"/>
          </w:tcPr>
          <w:p>
            <w:pPr>
              <w:spacing w:afterLines="0"/>
              <w:rPr>
                <w:rFonts w:ascii="宋体"/>
                <w:szCs w:val="21"/>
              </w:rPr>
            </w:pPr>
          </w:p>
        </w:tc>
        <w:tc>
          <w:tcPr>
            <w:tcW w:w="1727" w:type="dxa"/>
          </w:tcPr>
          <w:p>
            <w:pPr>
              <w:spacing w:afterLines="0"/>
              <w:rPr>
                <w:rFonts w:ascii="宋体"/>
                <w:szCs w:val="21"/>
              </w:rPr>
            </w:pPr>
          </w:p>
        </w:tc>
      </w:tr>
    </w:tbl>
    <w:p>
      <w:pPr>
        <w:spacing w:after="60"/>
        <w:ind w:firstLine="424" w:firstLineChars="202"/>
        <w:rPr>
          <w:rFonts w:cs="Arial"/>
        </w:rPr>
      </w:pPr>
      <w:r>
        <w:rPr>
          <w:rFonts w:hint="eastAsia" w:cs="Arial"/>
        </w:rPr>
        <w:t>格式仅供参考，证明材料按评分表中要求将扫描件附后。</w:t>
      </w:r>
    </w:p>
    <w:p>
      <w:pPr>
        <w:widowControl/>
        <w:spacing w:afterLines="0" w:line="240" w:lineRule="auto"/>
        <w:jc w:val="left"/>
        <w:rPr>
          <w:rFonts w:ascii="宋体" w:hAnsi="宋体"/>
          <w:kern w:val="0"/>
          <w:szCs w:val="21"/>
        </w:rPr>
      </w:pPr>
      <w:r>
        <w:rPr>
          <w:rFonts w:ascii="宋体" w:hAnsi="宋体"/>
          <w:kern w:val="0"/>
          <w:szCs w:val="21"/>
        </w:rPr>
        <w:br w:type="page"/>
      </w:r>
    </w:p>
    <w:p>
      <w:pPr>
        <w:pStyle w:val="3"/>
        <w:pageBreakBefore/>
        <w:adjustRightInd w:val="0"/>
        <w:spacing w:after="60" w:line="240" w:lineRule="auto"/>
        <w:jc w:val="center"/>
        <w:textAlignment w:val="baseline"/>
        <w:rPr>
          <w:rFonts w:ascii="宋体" w:hAnsi="宋体" w:eastAsia="宋体"/>
          <w:sz w:val="24"/>
          <w:szCs w:val="20"/>
        </w:rPr>
      </w:pPr>
      <w:r>
        <w:rPr>
          <w:rFonts w:hint="eastAsia" w:ascii="宋体" w:hAnsi="宋体" w:eastAsia="宋体"/>
          <w:sz w:val="24"/>
          <w:szCs w:val="20"/>
        </w:rPr>
        <w:t>14.政府采购</w:t>
      </w:r>
      <w:r>
        <w:rPr>
          <w:rFonts w:ascii="宋体" w:hAnsi="宋体" w:eastAsia="宋体"/>
          <w:sz w:val="24"/>
          <w:szCs w:val="20"/>
        </w:rPr>
        <w:t>优惠</w:t>
      </w:r>
      <w:r>
        <w:rPr>
          <w:rFonts w:hint="eastAsia" w:ascii="宋体" w:hAnsi="宋体" w:eastAsia="宋体"/>
          <w:sz w:val="24"/>
          <w:szCs w:val="20"/>
        </w:rPr>
        <w:t>政策</w:t>
      </w:r>
    </w:p>
    <w:p>
      <w:pPr>
        <w:spacing w:after="60" w:line="360" w:lineRule="auto"/>
        <w:rPr>
          <w:b/>
        </w:rPr>
      </w:pPr>
      <w:r>
        <w:rPr>
          <w:rFonts w:hint="eastAsia"/>
          <w:b/>
          <w:bCs/>
        </w:rPr>
        <w:t>说明：该部分内容由供应商根据自身情况填写相关声明，不符合要求的供应商可以不填写或删除相应的声明函。</w:t>
      </w:r>
      <w:r>
        <w:rPr>
          <w:rFonts w:hint="eastAsia"/>
          <w:b/>
        </w:rPr>
        <w:t>投标人对声明函的真实性负责。如提供虚假声明，将报送主管部门给予行政处罚。</w:t>
      </w:r>
    </w:p>
    <w:p>
      <w:pPr>
        <w:spacing w:after="60" w:line="360" w:lineRule="auto"/>
        <w:rPr>
          <w:b/>
        </w:rPr>
      </w:pPr>
    </w:p>
    <w:p>
      <w:pPr>
        <w:spacing w:after="60" w:line="360" w:lineRule="auto"/>
        <w:rPr>
          <w:b/>
        </w:rPr>
      </w:pPr>
      <w:r>
        <w:rPr>
          <w:rFonts w:hint="eastAsia"/>
          <w:b/>
        </w:rPr>
        <w:t>附件（本附件中内容如适合可根据自身情况填写完整后放进投标文件，如不适用，则无须提供）</w:t>
      </w:r>
    </w:p>
    <w:p>
      <w:pPr>
        <w:spacing w:after="60" w:line="360" w:lineRule="auto"/>
      </w:pPr>
    </w:p>
    <w:p>
      <w:pPr>
        <w:spacing w:after="60"/>
        <w:jc w:val="center"/>
        <w:rPr>
          <w:rFonts w:ascii="黑体" w:eastAsia="黑体"/>
          <w:b/>
          <w:bCs/>
          <w:kern w:val="0"/>
          <w:sz w:val="24"/>
          <w:szCs w:val="32"/>
        </w:rPr>
      </w:pPr>
      <w:r>
        <w:rPr>
          <w:rFonts w:hint="eastAsia"/>
          <w:b/>
          <w:kern w:val="0"/>
        </w:rPr>
        <w:t>中小企业声明函</w:t>
      </w:r>
    </w:p>
    <w:p>
      <w:pPr>
        <w:spacing w:after="60"/>
        <w:rPr>
          <w:rFonts w:ascii="黑体" w:eastAsia="黑体"/>
          <w:bCs/>
          <w:kern w:val="0"/>
          <w:sz w:val="24"/>
          <w:szCs w:val="32"/>
        </w:rPr>
      </w:pPr>
    </w:p>
    <w:p>
      <w:pPr>
        <w:spacing w:after="60" w:line="360" w:lineRule="auto"/>
        <w:ind w:firstLine="420" w:firstLineChars="200"/>
        <w:jc w:val="left"/>
        <w:rPr>
          <w:rFonts w:ascii="宋体" w:hAnsi="宋体"/>
        </w:rPr>
      </w:pPr>
      <w:r>
        <w:rPr>
          <w:rFonts w:hint="eastAsia" w:ascii="宋体" w:hAnsi="宋体"/>
        </w:rPr>
        <w:t>本公司郑重声明，根据《政府采购促进中小企业发展管理办法》（财库﹝</w:t>
      </w:r>
      <w:r>
        <w:rPr>
          <w:rFonts w:ascii="宋体" w:hAnsi="宋体"/>
        </w:rPr>
        <w:t>2020</w:t>
      </w:r>
      <w:r>
        <w:rPr>
          <w:rFonts w:hint="eastAsia" w:ascii="宋体" w:hAnsi="宋体"/>
        </w:rPr>
        <w:t>﹞</w:t>
      </w:r>
      <w:r>
        <w:rPr>
          <w:rFonts w:ascii="宋体" w:hAnsi="宋体"/>
        </w:rPr>
        <w:t xml:space="preserve">46 </w:t>
      </w:r>
      <w:r>
        <w:rPr>
          <w:rFonts w:hint="eastAsia" w:ascii="宋体" w:hAnsi="宋体"/>
        </w:rPr>
        <w:t>号）的规定，本公司参加</w:t>
      </w:r>
      <w:r>
        <w:rPr>
          <w:rFonts w:hint="eastAsia" w:ascii="宋体" w:hAnsi="宋体"/>
          <w:b/>
        </w:rPr>
        <w:t>（采购单位名称：</w:t>
      </w:r>
      <w:r>
        <w:rPr>
          <w:rFonts w:hint="eastAsia" w:ascii="宋体" w:hAnsi="宋体"/>
          <w:b/>
          <w:u w:val="single"/>
        </w:rPr>
        <w:t xml:space="preserve">          </w:t>
      </w:r>
      <w:r>
        <w:rPr>
          <w:rFonts w:hint="eastAsia" w:ascii="宋体" w:hAnsi="宋体"/>
          <w:b/>
        </w:rPr>
        <w:t>）的（项目名称：</w:t>
      </w:r>
      <w:r>
        <w:rPr>
          <w:rFonts w:hint="eastAsia" w:ascii="宋体" w:hAnsi="宋体" w:cs="仿宋"/>
          <w:b/>
          <w:bCs/>
          <w:u w:val="single"/>
        </w:rPr>
        <w:t xml:space="preserve">               </w:t>
      </w:r>
      <w:r>
        <w:rPr>
          <w:rFonts w:hint="eastAsia" w:ascii="宋体" w:hAnsi="宋体"/>
        </w:rPr>
        <w:t>）采购活动，提供的服务全部由符合政策要求的中小企业承接。相关企业的具体情况如下：</w:t>
      </w:r>
    </w:p>
    <w:p>
      <w:pPr>
        <w:spacing w:after="60" w:line="360" w:lineRule="auto"/>
        <w:ind w:firstLine="421" w:firstLineChars="200"/>
        <w:jc w:val="left"/>
        <w:rPr>
          <w:rFonts w:ascii="宋体" w:hAnsi="宋体"/>
          <w:b/>
          <w:u w:val="single"/>
        </w:rPr>
      </w:pPr>
      <w:r>
        <w:rPr>
          <w:rFonts w:hint="eastAsia" w:ascii="宋体" w:hAnsi="宋体"/>
          <w:b/>
        </w:rPr>
        <w:t>（项目名称：</w:t>
      </w:r>
      <w:r>
        <w:rPr>
          <w:rFonts w:hint="eastAsia" w:ascii="宋体" w:hAnsi="宋体" w:cs="仿宋"/>
          <w:b/>
          <w:bCs/>
          <w:u w:val="single"/>
        </w:rPr>
        <w:t xml:space="preserve">          </w:t>
      </w:r>
      <w:r>
        <w:rPr>
          <w:rFonts w:hint="eastAsia" w:ascii="宋体" w:hAnsi="宋体"/>
          <w:b/>
        </w:rPr>
        <w:t>）</w:t>
      </w:r>
      <w:r>
        <w:rPr>
          <w:rFonts w:ascii="宋体" w:hAnsi="宋体"/>
          <w:b/>
        </w:rPr>
        <w:t xml:space="preserve"> </w:t>
      </w:r>
      <w:r>
        <w:rPr>
          <w:rFonts w:hint="eastAsia" w:ascii="宋体" w:hAnsi="宋体"/>
          <w:b/>
        </w:rPr>
        <w:t>，属于</w:t>
      </w:r>
      <w:r>
        <w:rPr>
          <w:rFonts w:hint="eastAsia" w:ascii="宋体" w:hAnsi="宋体"/>
          <w:b/>
          <w:u w:val="single"/>
        </w:rPr>
        <w:t xml:space="preserve">        </w:t>
      </w:r>
      <w:r>
        <w:rPr>
          <w:rFonts w:hint="eastAsia" w:ascii="宋体" w:hAnsi="宋体"/>
          <w:b/>
        </w:rPr>
        <w:t>行业；承接企业为</w:t>
      </w:r>
      <w:r>
        <w:rPr>
          <w:rFonts w:hint="eastAsia" w:ascii="宋体" w:hAnsi="宋体"/>
          <w:b/>
          <w:u w:val="single"/>
        </w:rPr>
        <w:t>（企业名称：    ）</w:t>
      </w:r>
      <w:r>
        <w:rPr>
          <w:rFonts w:hint="eastAsia" w:ascii="宋体" w:hAnsi="宋体"/>
          <w:b/>
        </w:rPr>
        <w:t>，从业人员</w:t>
      </w:r>
      <w:r>
        <w:rPr>
          <w:rFonts w:hint="eastAsia" w:ascii="宋体" w:hAnsi="宋体"/>
          <w:b/>
          <w:u w:val="single"/>
        </w:rPr>
        <w:t xml:space="preserve">        </w:t>
      </w:r>
      <w:r>
        <w:rPr>
          <w:rFonts w:hint="eastAsia" w:ascii="宋体" w:hAnsi="宋体"/>
          <w:b/>
        </w:rPr>
        <w:t>人，营业收入为</w:t>
      </w:r>
      <w:r>
        <w:rPr>
          <w:rFonts w:hint="eastAsia" w:ascii="宋体" w:hAnsi="宋体"/>
          <w:b/>
          <w:u w:val="single"/>
        </w:rPr>
        <w:t xml:space="preserve">          </w:t>
      </w:r>
      <w:r>
        <w:rPr>
          <w:rFonts w:hint="eastAsia" w:ascii="宋体" w:hAnsi="宋体"/>
          <w:b/>
        </w:rPr>
        <w:t>万元，资产总额为</w:t>
      </w:r>
      <w:r>
        <w:rPr>
          <w:rFonts w:hint="eastAsia" w:ascii="宋体" w:hAnsi="宋体"/>
          <w:b/>
          <w:u w:val="single"/>
        </w:rPr>
        <w:t xml:space="preserve">      </w:t>
      </w:r>
      <w:r>
        <w:rPr>
          <w:rFonts w:hint="eastAsia" w:ascii="宋体" w:hAnsi="宋体"/>
          <w:b/>
        </w:rPr>
        <w:t>万元，属于</w:t>
      </w:r>
      <w:r>
        <w:rPr>
          <w:rFonts w:hint="eastAsia" w:ascii="宋体" w:hAnsi="宋体"/>
          <w:b/>
          <w:u w:val="single"/>
        </w:rPr>
        <w:t>（</w:t>
      </w:r>
      <w:r>
        <w:rPr>
          <w:rFonts w:hint="eastAsia"/>
          <w:b/>
          <w:szCs w:val="21"/>
          <w:u w:val="single"/>
        </w:rPr>
        <w:t>□</w:t>
      </w:r>
      <w:r>
        <w:rPr>
          <w:rFonts w:hint="eastAsia" w:ascii="宋体" w:hAnsi="宋体"/>
          <w:b/>
          <w:u w:val="single"/>
        </w:rPr>
        <w:t>中型企业/</w:t>
      </w:r>
      <w:r>
        <w:rPr>
          <w:rFonts w:hint="eastAsia"/>
          <w:b/>
          <w:szCs w:val="21"/>
          <w:u w:val="single"/>
        </w:rPr>
        <w:t>□</w:t>
      </w:r>
      <w:r>
        <w:rPr>
          <w:rFonts w:hint="eastAsia" w:ascii="宋体" w:hAnsi="宋体"/>
          <w:b/>
          <w:u w:val="single"/>
        </w:rPr>
        <w:t>小型企业/</w:t>
      </w:r>
      <w:r>
        <w:rPr>
          <w:rFonts w:hint="eastAsia"/>
          <w:b/>
          <w:szCs w:val="21"/>
          <w:u w:val="single"/>
        </w:rPr>
        <w:t>□</w:t>
      </w:r>
      <w:r>
        <w:rPr>
          <w:rFonts w:hint="eastAsia" w:ascii="宋体" w:hAnsi="宋体"/>
          <w:b/>
          <w:u w:val="single"/>
        </w:rPr>
        <w:t>微型企业）（承诺人在□处打√）；</w:t>
      </w:r>
    </w:p>
    <w:p>
      <w:pPr>
        <w:spacing w:after="60"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szCs w:val="21"/>
        </w:rPr>
      </w:pPr>
      <w:r>
        <w:rPr>
          <w:rFonts w:hint="eastAsia" w:ascii="宋体" w:hAnsi="宋体"/>
        </w:rPr>
        <w:t>本企业对上述声明内容的真实性负责。如有虚假，将依法承担相应责任</w:t>
      </w:r>
      <w:r>
        <w:rPr>
          <w:rFonts w:hint="eastAsia"/>
          <w:szCs w:val="21"/>
        </w:rPr>
        <w:t>。</w:t>
      </w:r>
    </w:p>
    <w:p>
      <w:pPr>
        <w:spacing w:after="60" w:line="360" w:lineRule="auto"/>
        <w:ind w:firstLine="420" w:firstLineChars="200"/>
        <w:jc w:val="right"/>
        <w:rPr>
          <w:szCs w:val="21"/>
        </w:rPr>
      </w:pPr>
      <w:r>
        <w:rPr>
          <w:rFonts w:hint="eastAsia"/>
          <w:szCs w:val="21"/>
        </w:rPr>
        <w:t>企业名称（盖章）：</w:t>
      </w:r>
    </w:p>
    <w:p>
      <w:pPr>
        <w:spacing w:after="60" w:line="360" w:lineRule="auto"/>
        <w:ind w:firstLine="420" w:firstLineChars="200"/>
        <w:jc w:val="right"/>
        <w:rPr>
          <w:szCs w:val="21"/>
        </w:rPr>
      </w:pPr>
      <w:r>
        <w:rPr>
          <w:rFonts w:hint="eastAsia"/>
          <w:szCs w:val="21"/>
        </w:rPr>
        <w:t>日期：</w:t>
      </w:r>
    </w:p>
    <w:p>
      <w:pPr>
        <w:spacing w:after="60" w:line="360" w:lineRule="auto"/>
        <w:ind w:firstLine="420" w:firstLineChars="200"/>
        <w:jc w:val="right"/>
        <w:rPr>
          <w:szCs w:val="21"/>
        </w:rPr>
      </w:pPr>
    </w:p>
    <w:p>
      <w:pPr>
        <w:spacing w:after="60" w:line="360" w:lineRule="auto"/>
        <w:ind w:firstLine="420" w:firstLineChars="200"/>
        <w:jc w:val="right"/>
        <w:rPr>
          <w:szCs w:val="21"/>
        </w:rPr>
      </w:pPr>
    </w:p>
    <w:p>
      <w:pPr>
        <w:spacing w:after="60" w:line="360" w:lineRule="auto"/>
        <w:jc w:val="right"/>
        <w:rPr>
          <w:szCs w:val="21"/>
        </w:rPr>
      </w:pPr>
      <w:r>
        <w:rPr>
          <w:rFonts w:hint="eastAsia"/>
          <w:b/>
          <w:szCs w:val="21"/>
        </w:rPr>
        <w:t>注：从业人员、营业收入、资产总额填报上一年度数据，无上一年度数据的新成立企业可不填报</w:t>
      </w:r>
      <w:r>
        <w:rPr>
          <w:rFonts w:hint="eastAsia"/>
          <w:szCs w:val="21"/>
        </w:rPr>
        <w:t>。</w:t>
      </w:r>
    </w:p>
    <w:p>
      <w:pPr>
        <w:spacing w:after="60"/>
        <w:jc w:val="right"/>
      </w:pPr>
      <w:r>
        <w:rPr>
          <w:szCs w:val="21"/>
        </w:rPr>
        <w:br w:type="page"/>
      </w:r>
    </w:p>
    <w:p>
      <w:pPr>
        <w:spacing w:after="60"/>
      </w:pPr>
    </w:p>
    <w:p>
      <w:pPr>
        <w:spacing w:after="60"/>
        <w:jc w:val="center"/>
        <w:rPr>
          <w:b/>
          <w:kern w:val="0"/>
        </w:rPr>
      </w:pPr>
      <w:r>
        <w:rPr>
          <w:rFonts w:hint="eastAsia"/>
          <w:b/>
          <w:kern w:val="0"/>
        </w:rPr>
        <w:t>残疾人福利性单位声明函</w:t>
      </w:r>
    </w:p>
    <w:p>
      <w:pPr>
        <w:spacing w:after="60"/>
        <w:rPr>
          <w:b/>
          <w:sz w:val="24"/>
        </w:rPr>
      </w:pPr>
    </w:p>
    <w:p>
      <w:pPr>
        <w:spacing w:after="60"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60" w:line="360" w:lineRule="auto"/>
      </w:pPr>
      <w:r>
        <w:rPr>
          <w:rFonts w:hint="eastAsia"/>
        </w:rPr>
        <w:t>本单位对上述声明的真实性负责。如有虚假，将依法承担相应责任。</w:t>
      </w:r>
    </w:p>
    <w:p>
      <w:pPr>
        <w:spacing w:after="60" w:line="360" w:lineRule="auto"/>
      </w:pPr>
    </w:p>
    <w:p>
      <w:pPr>
        <w:spacing w:after="60" w:line="360" w:lineRule="auto"/>
        <w:ind w:firstLine="420" w:firstLineChars="200"/>
        <w:jc w:val="right"/>
        <w:rPr>
          <w:szCs w:val="21"/>
        </w:rPr>
      </w:pPr>
      <w:r>
        <w:rPr>
          <w:rFonts w:hint="eastAsia"/>
          <w:szCs w:val="21"/>
        </w:rPr>
        <w:t xml:space="preserve">单位名称： </w:t>
      </w:r>
    </w:p>
    <w:p>
      <w:pPr>
        <w:spacing w:after="60" w:line="360" w:lineRule="auto"/>
        <w:jc w:val="right"/>
        <w:rPr>
          <w:szCs w:val="21"/>
        </w:rPr>
      </w:pPr>
      <w:r>
        <w:rPr>
          <w:rFonts w:hint="eastAsia"/>
          <w:szCs w:val="21"/>
        </w:rPr>
        <w:t>日期：</w:t>
      </w:r>
    </w:p>
    <w:p>
      <w:pPr>
        <w:spacing w:after="60"/>
        <w:jc w:val="right"/>
      </w:pPr>
      <w:r>
        <w:rPr>
          <w:szCs w:val="21"/>
        </w:rPr>
        <w:br w:type="page"/>
      </w:r>
    </w:p>
    <w:p>
      <w:pPr>
        <w:spacing w:after="60"/>
      </w:pPr>
    </w:p>
    <w:p>
      <w:pPr>
        <w:spacing w:after="60"/>
        <w:ind w:firstLine="422"/>
        <w:jc w:val="center"/>
        <w:rPr>
          <w:b/>
          <w:kern w:val="0"/>
        </w:rPr>
      </w:pPr>
      <w:r>
        <w:rPr>
          <w:rFonts w:hint="eastAsia"/>
          <w:b/>
          <w:szCs w:val="21"/>
        </w:rPr>
        <w:t>监狱企业声明函</w:t>
      </w: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1" w:firstLineChars="200"/>
        <w:rPr>
          <w:szCs w:val="21"/>
        </w:rPr>
      </w:pPr>
      <w:r>
        <w:rPr>
          <w:rFonts w:hint="eastAsia"/>
          <w:b/>
          <w:szCs w:val="21"/>
        </w:rPr>
        <w:t>附：省级以上监狱管理局、戒毒管理局（含新疆生产建设兵团）出具的监狱企业证明文件</w:t>
      </w:r>
      <w:r>
        <w:rPr>
          <w:rFonts w:hint="eastAsia"/>
          <w:szCs w:val="21"/>
        </w:rPr>
        <w:t>。</w:t>
      </w:r>
    </w:p>
    <w:p>
      <w:pPr>
        <w:spacing w:after="60" w:line="360" w:lineRule="auto"/>
      </w:pPr>
    </w:p>
    <w:p>
      <w:pPr>
        <w:spacing w:after="60" w:line="360" w:lineRule="auto"/>
      </w:pPr>
    </w:p>
    <w:p>
      <w:pPr>
        <w:spacing w:after="60" w:line="360" w:lineRule="auto"/>
        <w:ind w:firstLine="420" w:firstLineChars="200"/>
        <w:jc w:val="right"/>
        <w:rPr>
          <w:szCs w:val="21"/>
        </w:rPr>
      </w:pPr>
      <w:r>
        <w:rPr>
          <w:rFonts w:hint="eastAsia"/>
          <w:szCs w:val="21"/>
        </w:rPr>
        <w:t>单位名称：</w:t>
      </w:r>
    </w:p>
    <w:p>
      <w:pPr>
        <w:spacing w:after="60" w:line="360" w:lineRule="auto"/>
        <w:ind w:firstLine="420" w:firstLineChars="200"/>
        <w:jc w:val="right"/>
        <w:rPr>
          <w:rFonts w:ascii="宋体" w:hAnsi="宋体"/>
        </w:rPr>
      </w:pPr>
      <w:r>
        <w:rPr>
          <w:rFonts w:hint="eastAsia"/>
          <w:szCs w:val="21"/>
        </w:rPr>
        <w:t>日期：</w:t>
      </w:r>
    </w:p>
    <w:p>
      <w:pPr>
        <w:spacing w:after="60" w:line="360" w:lineRule="auto"/>
        <w:rPr>
          <w:rFonts w:ascii="宋体" w:hAnsi="宋体"/>
        </w:rPr>
      </w:pPr>
    </w:p>
    <w:p>
      <w:pPr>
        <w:spacing w:after="60" w:line="360" w:lineRule="auto"/>
        <w:rPr>
          <w:rFonts w:ascii="宋体" w:hAnsi="宋体"/>
        </w:rPr>
      </w:pPr>
    </w:p>
    <w:p>
      <w:pPr>
        <w:pStyle w:val="3"/>
        <w:pageBreakBefore/>
        <w:adjustRightInd w:val="0"/>
        <w:spacing w:afterLines="0" w:line="240" w:lineRule="auto"/>
        <w:jc w:val="center"/>
        <w:textAlignment w:val="baseline"/>
        <w:rPr>
          <w:rFonts w:ascii="宋体" w:hAnsi="宋体" w:eastAsia="宋体"/>
          <w:sz w:val="24"/>
          <w:szCs w:val="20"/>
        </w:rPr>
      </w:pPr>
      <w:r>
        <w:rPr>
          <w:rFonts w:hint="eastAsia" w:ascii="宋体" w:hAnsi="宋体" w:eastAsia="宋体"/>
          <w:sz w:val="24"/>
          <w:szCs w:val="20"/>
        </w:rPr>
        <w:t>15</w:t>
      </w:r>
      <w:r>
        <w:rPr>
          <w:rFonts w:ascii="宋体" w:hAnsi="宋体" w:eastAsia="宋体"/>
          <w:sz w:val="24"/>
          <w:szCs w:val="20"/>
        </w:rPr>
        <w:t>.</w:t>
      </w:r>
      <w:r>
        <w:rPr>
          <w:rFonts w:hint="eastAsia" w:ascii="宋体" w:hAnsi="宋体" w:eastAsia="宋体"/>
          <w:sz w:val="24"/>
          <w:szCs w:val="20"/>
        </w:rPr>
        <w:t>投标人认为需要提供的其他证明文件</w:t>
      </w:r>
    </w:p>
    <w:p>
      <w:pPr>
        <w:spacing w:after="60"/>
        <w:rPr>
          <w:rFonts w:asciiTheme="minorEastAsia" w:hAnsiTheme="minorEastAsia" w:eastAsiaTheme="minorEastAsia"/>
          <w:szCs w:val="21"/>
        </w:rPr>
      </w:pPr>
    </w:p>
    <w:p>
      <w:pPr>
        <w:spacing w:after="60"/>
        <w:rPr>
          <w:rFonts w:asciiTheme="minorEastAsia" w:hAnsiTheme="minorEastAsia" w:eastAsiaTheme="minorEastAsia"/>
          <w:szCs w:val="21"/>
        </w:rPr>
      </w:pPr>
      <w:r>
        <w:rPr>
          <w:rFonts w:hint="eastAsia" w:asciiTheme="minorEastAsia" w:hAnsiTheme="minorEastAsia" w:eastAsiaTheme="minorEastAsia"/>
          <w:szCs w:val="21"/>
        </w:rPr>
        <w:t>格式自拟</w:t>
      </w:r>
    </w:p>
    <w:p>
      <w:pPr>
        <w:spacing w:after="60"/>
        <w:rPr>
          <w:rFonts w:ascii="宋体"/>
          <w:kern w:val="0"/>
          <w:sz w:val="24"/>
          <w:szCs w:val="20"/>
        </w:rPr>
      </w:pPr>
      <w:r>
        <w:rPr>
          <w:rFonts w:asciiTheme="minorEastAsia" w:hAnsiTheme="minorEastAsia" w:eastAsiaTheme="minorEastAsia"/>
          <w:szCs w:val="21"/>
        </w:rPr>
        <w:t>……</w:t>
      </w:r>
    </w:p>
    <w:p>
      <w:pPr>
        <w:pStyle w:val="3"/>
        <w:pageBreakBefore/>
        <w:adjustRightInd w:val="0"/>
        <w:spacing w:after="60" w:line="240" w:lineRule="auto"/>
        <w:ind w:left="4016" w:hanging="4015" w:hangingChars="1250"/>
        <w:jc w:val="left"/>
        <w:textAlignment w:val="baseline"/>
        <w:rPr>
          <w:rFonts w:ascii="宋体" w:hAnsi="宋体"/>
        </w:rPr>
      </w:pPr>
      <w:r>
        <w:rPr>
          <w:rFonts w:hint="eastAsia" w:ascii="宋体" w:hAnsi="宋体"/>
        </w:rPr>
        <w:t>信息不公开部分</w:t>
      </w:r>
      <w:r>
        <w:rPr>
          <w:rFonts w:ascii="宋体" w:hAnsi="宋体"/>
        </w:rPr>
        <w:t>:</w:t>
      </w:r>
    </w:p>
    <w:p>
      <w:pPr>
        <w:pStyle w:val="3"/>
        <w:pageBreakBefore/>
        <w:adjustRightInd w:val="0"/>
        <w:spacing w:after="60" w:line="240" w:lineRule="auto"/>
        <w:jc w:val="center"/>
        <w:textAlignment w:val="baseline"/>
        <w:rPr>
          <w:rFonts w:ascii="宋体" w:hAnsi="宋体"/>
          <w:b w:val="0"/>
          <w:bCs w:val="0"/>
          <w:sz w:val="24"/>
          <w:szCs w:val="20"/>
        </w:rPr>
      </w:pPr>
      <w:r>
        <w:rPr>
          <w:rFonts w:ascii="宋体" w:hAnsi="宋体" w:eastAsia="宋体"/>
          <w:sz w:val="24"/>
          <w:szCs w:val="20"/>
        </w:rPr>
        <w:t xml:space="preserve">1. </w:t>
      </w:r>
      <w:r>
        <w:rPr>
          <w:rFonts w:hint="eastAsia" w:ascii="宋体" w:hAnsi="宋体" w:eastAsia="宋体"/>
          <w:sz w:val="24"/>
          <w:szCs w:val="20"/>
        </w:rPr>
        <w:t>法定代表人（或负责人）资格证明书</w:t>
      </w:r>
    </w:p>
    <w:p>
      <w:pPr>
        <w:spacing w:afterLines="0"/>
        <w:ind w:left="140"/>
        <w:jc w:val="center"/>
        <w:rPr>
          <w:rFonts w:cs="Arial"/>
          <w:b/>
          <w:sz w:val="30"/>
          <w:szCs w:val="30"/>
        </w:rPr>
      </w:pPr>
    </w:p>
    <w:p>
      <w:pPr>
        <w:spacing w:afterLines="0"/>
        <w:ind w:left="140"/>
        <w:jc w:val="center"/>
        <w:rPr>
          <w:rFonts w:cs="Arial"/>
          <w:b/>
          <w:sz w:val="24"/>
        </w:rPr>
      </w:pPr>
      <w:r>
        <w:rPr>
          <w:rFonts w:hint="eastAsia" w:cs="Arial"/>
          <w:b/>
          <w:sz w:val="24"/>
        </w:rPr>
        <w:t>法定代表人（或负责人）资格证明书</w:t>
      </w:r>
    </w:p>
    <w:p>
      <w:pPr>
        <w:pStyle w:val="8"/>
        <w:spacing w:afterLines="0" w:line="480" w:lineRule="atLeast"/>
        <w:ind w:firstLine="480"/>
        <w:rPr>
          <w:rFonts w:eastAsia="仿宋_GB2312"/>
        </w:rPr>
      </w:pPr>
    </w:p>
    <w:p>
      <w:pPr>
        <w:spacing w:afterLines="0"/>
        <w:rPr>
          <w:szCs w:val="21"/>
          <w:u w:val="single"/>
        </w:rPr>
      </w:pPr>
      <w:r>
        <w:rPr>
          <w:rFonts w:hint="eastAsia"/>
          <w:szCs w:val="21"/>
        </w:rPr>
        <w:t>单位名称：</w:t>
      </w:r>
      <w:r>
        <w:rPr>
          <w:rFonts w:hint="eastAsia"/>
          <w:szCs w:val="21"/>
          <w:u w:val="single"/>
        </w:rPr>
        <w:t xml:space="preserve">                    </w:t>
      </w:r>
    </w:p>
    <w:p>
      <w:pPr>
        <w:spacing w:afterLines="0"/>
        <w:rPr>
          <w:szCs w:val="21"/>
          <w:u w:val="single"/>
        </w:rPr>
      </w:pPr>
      <w:r>
        <w:rPr>
          <w:rFonts w:hint="eastAsia"/>
          <w:szCs w:val="21"/>
        </w:rPr>
        <w:t>地址：</w:t>
      </w:r>
      <w:r>
        <w:rPr>
          <w:rFonts w:hint="eastAsia"/>
          <w:szCs w:val="21"/>
          <w:u w:val="single"/>
        </w:rPr>
        <w:t xml:space="preserve">                        </w:t>
      </w:r>
      <w:r>
        <w:rPr>
          <w:rFonts w:hint="eastAsia"/>
          <w:szCs w:val="21"/>
        </w:rPr>
        <w:t xml:space="preserve">  </w:t>
      </w:r>
    </w:p>
    <w:p>
      <w:pPr>
        <w:spacing w:afterLines="0"/>
        <w:rPr>
          <w:szCs w:val="21"/>
          <w:u w:val="single"/>
        </w:rPr>
      </w:pPr>
      <w:r>
        <w:rPr>
          <w:rFonts w:hint="eastAsia"/>
          <w:szCs w:val="21"/>
        </w:rPr>
        <w:t>姓名：</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 xml:space="preserve">  </w:t>
      </w:r>
    </w:p>
    <w:p>
      <w:pPr>
        <w:spacing w:afterLines="0"/>
        <w:rPr>
          <w:szCs w:val="21"/>
        </w:rPr>
      </w:pPr>
      <w:r>
        <w:rPr>
          <w:rFonts w:hint="eastAsia"/>
          <w:szCs w:val="21"/>
        </w:rPr>
        <w:t>系（</w:t>
      </w:r>
      <w:r>
        <w:rPr>
          <w:rFonts w:hint="eastAsia"/>
          <w:szCs w:val="21"/>
          <w:u w:val="single"/>
        </w:rPr>
        <w:t>投标人名称</w:t>
      </w:r>
      <w:r>
        <w:rPr>
          <w:rFonts w:hint="eastAsia" w:asciiTheme="minorEastAsia" w:hAnsiTheme="minorEastAsia" w:eastAsiaTheme="minorEastAsia"/>
          <w:szCs w:val="21"/>
          <w:u w:val="single"/>
        </w:rPr>
        <w:t xml:space="preserve">:      </w:t>
      </w:r>
      <w:r>
        <w:rPr>
          <w:rFonts w:hint="eastAsia"/>
          <w:szCs w:val="21"/>
        </w:rPr>
        <w:t>）的法定代表人。为维护本项目，签署上述项目的投标文件、进行合同投标、签署合同和处理与之有关的一切事务。</w:t>
      </w:r>
    </w:p>
    <w:p>
      <w:pPr>
        <w:spacing w:afterLines="0"/>
        <w:rPr>
          <w:szCs w:val="21"/>
        </w:rPr>
      </w:pPr>
      <w:r>
        <w:rPr>
          <w:rFonts w:hint="eastAsia"/>
          <w:szCs w:val="21"/>
        </w:rPr>
        <w:t>特此证明。</w:t>
      </w:r>
    </w:p>
    <w:p>
      <w:pPr>
        <w:spacing w:afterLines="0"/>
        <w:rPr>
          <w:szCs w:val="21"/>
        </w:rPr>
      </w:pPr>
    </w:p>
    <w:p>
      <w:pPr>
        <w:spacing w:afterLines="0"/>
        <w:rPr>
          <w:szCs w:val="21"/>
        </w:rPr>
      </w:pPr>
      <w:r>
        <w:rPr>
          <w:rFonts w:hint="eastAsia"/>
          <w:szCs w:val="21"/>
        </w:rPr>
        <w:t>供应商：</w:t>
      </w:r>
      <w:r>
        <w:rPr>
          <w:rFonts w:hint="eastAsia"/>
          <w:szCs w:val="21"/>
          <w:u w:val="single"/>
        </w:rPr>
        <w:t xml:space="preserve">          </w:t>
      </w:r>
      <w:r>
        <w:rPr>
          <w:rFonts w:hint="eastAsia"/>
          <w:szCs w:val="21"/>
        </w:rPr>
        <w:t xml:space="preserve">           </w:t>
      </w:r>
    </w:p>
    <w:p>
      <w:pPr>
        <w:spacing w:afterLines="0"/>
        <w:rPr>
          <w:szCs w:val="21"/>
        </w:rPr>
      </w:pPr>
      <w:r>
        <w:rPr>
          <w:rFonts w:hint="eastAsia"/>
          <w:szCs w:val="21"/>
        </w:rPr>
        <w:t>日期：  年  月   日</w:t>
      </w:r>
    </w:p>
    <w:p>
      <w:pPr>
        <w:pStyle w:val="8"/>
        <w:spacing w:afterLines="0" w:line="500" w:lineRule="exact"/>
        <w:ind w:firstLine="480"/>
      </w:pPr>
    </w:p>
    <w:p>
      <w:pPr>
        <w:pStyle w:val="8"/>
        <w:spacing w:afterLines="0" w:line="500" w:lineRule="exact"/>
        <w:ind w:firstLine="0" w:firstLineChars="0"/>
        <w:rPr>
          <w:color w:val="FF0000"/>
        </w:rPr>
      </w:pPr>
      <w:r>
        <w:rPr>
          <w:rFonts w:hint="eastAsia" w:ascii="宋体" w:hAnsi="宋体"/>
          <w:b/>
          <w:color w:val="FF0000"/>
          <w:szCs w:val="21"/>
        </w:rPr>
        <w:t>★</w:t>
      </w:r>
      <w:r>
        <w:rPr>
          <w:rFonts w:hint="eastAsia"/>
          <w:b/>
          <w:bCs/>
          <w:color w:val="FF0000"/>
          <w:sz w:val="32"/>
        </w:rPr>
        <w:t>必须提供法定代表人（或负责人）有效期内身份证的正反面扫描件，非中国国籍管辖范围的，可提供公安部门认可的身份证明材料，否则将导致投标无效。</w:t>
      </w:r>
    </w:p>
    <w:p>
      <w:pPr>
        <w:pStyle w:val="8"/>
        <w:spacing w:afterLines="0" w:line="500" w:lineRule="exact"/>
        <w:ind w:firstLine="480"/>
      </w:pPr>
    </w:p>
    <w:p>
      <w:pPr>
        <w:pStyle w:val="3"/>
        <w:pageBreakBefore/>
        <w:adjustRightInd w:val="0"/>
        <w:spacing w:after="60" w:line="240" w:lineRule="auto"/>
        <w:jc w:val="center"/>
        <w:textAlignment w:val="baseline"/>
        <w:rPr>
          <w:rFonts w:ascii="宋体" w:hAnsi="宋体" w:eastAsia="宋体"/>
          <w:sz w:val="24"/>
          <w:szCs w:val="20"/>
        </w:rPr>
      </w:pPr>
      <w:r>
        <w:rPr>
          <w:rFonts w:ascii="宋体" w:hAnsi="宋体" w:eastAsia="宋体"/>
          <w:sz w:val="24"/>
          <w:szCs w:val="20"/>
        </w:rPr>
        <w:t xml:space="preserve">2. </w:t>
      </w:r>
      <w:r>
        <w:rPr>
          <w:rFonts w:hint="eastAsia" w:ascii="宋体" w:hAnsi="宋体" w:eastAsia="宋体"/>
          <w:sz w:val="24"/>
          <w:szCs w:val="20"/>
        </w:rPr>
        <w:t>法定代表人（或负责人）授权书</w:t>
      </w:r>
    </w:p>
    <w:p>
      <w:pPr>
        <w:spacing w:afterLines="0"/>
        <w:jc w:val="center"/>
        <w:rPr>
          <w:b/>
          <w:sz w:val="28"/>
          <w:szCs w:val="28"/>
        </w:rPr>
      </w:pPr>
    </w:p>
    <w:p>
      <w:pPr>
        <w:spacing w:afterLines="0"/>
        <w:ind w:left="140"/>
        <w:jc w:val="center"/>
        <w:rPr>
          <w:rFonts w:cs="Arial"/>
          <w:b/>
          <w:sz w:val="24"/>
        </w:rPr>
      </w:pPr>
      <w:r>
        <w:rPr>
          <w:rFonts w:hint="eastAsia" w:cs="Arial"/>
          <w:b/>
          <w:sz w:val="24"/>
        </w:rPr>
        <w:t>法定代表人（或负责人）授权书</w:t>
      </w:r>
    </w:p>
    <w:p>
      <w:pPr>
        <w:spacing w:afterLines="0" w:line="360" w:lineRule="auto"/>
        <w:ind w:firstLine="420" w:firstLineChars="200"/>
        <w:rPr>
          <w:szCs w:val="21"/>
        </w:rPr>
      </w:pPr>
    </w:p>
    <w:p>
      <w:pPr>
        <w:spacing w:afterLines="0" w:line="360" w:lineRule="auto"/>
        <w:ind w:firstLine="420" w:firstLineChars="200"/>
        <w:rPr>
          <w:szCs w:val="21"/>
        </w:rPr>
      </w:pPr>
      <w:r>
        <w:rPr>
          <w:rFonts w:hint="eastAsia"/>
          <w:szCs w:val="21"/>
        </w:rPr>
        <w:t>本授权委托书声明：我（</w:t>
      </w:r>
      <w:r>
        <w:rPr>
          <w:rFonts w:hint="eastAsia"/>
          <w:szCs w:val="21"/>
          <w:u w:val="single"/>
        </w:rPr>
        <w:t xml:space="preserve">姓名：    </w:t>
      </w:r>
      <w:r>
        <w:rPr>
          <w:rFonts w:hint="eastAsia"/>
          <w:szCs w:val="21"/>
        </w:rPr>
        <w:t>）系（</w:t>
      </w:r>
      <w:r>
        <w:rPr>
          <w:rFonts w:hint="eastAsia"/>
          <w:szCs w:val="21"/>
          <w:u w:val="single"/>
        </w:rPr>
        <w:t xml:space="preserve">投标人名称：   </w:t>
      </w:r>
      <w:r>
        <w:rPr>
          <w:rFonts w:hint="eastAsia"/>
          <w:szCs w:val="21"/>
        </w:rPr>
        <w:t>）的法定代表人</w:t>
      </w:r>
      <w:r>
        <w:rPr>
          <w:rFonts w:hint="eastAsia" w:cs="Arial"/>
        </w:rPr>
        <w:t>（或负责人）</w:t>
      </w:r>
      <w:r>
        <w:rPr>
          <w:rFonts w:hint="eastAsia"/>
          <w:szCs w:val="21"/>
        </w:rPr>
        <w:t>，现授权委托我公司的（姓名：     ）为我公司签署本项目已递交的投标文件的法定代表人的授权委托代理人，代理人全权代表我所签署的本项目已递交的投标文件内容我均承认。</w:t>
      </w:r>
    </w:p>
    <w:p>
      <w:pPr>
        <w:spacing w:afterLines="0" w:line="360" w:lineRule="auto"/>
        <w:ind w:firstLine="420" w:firstLineChars="200"/>
        <w:rPr>
          <w:szCs w:val="21"/>
        </w:rPr>
      </w:pPr>
      <w:r>
        <w:rPr>
          <w:rFonts w:hint="eastAsia"/>
          <w:szCs w:val="21"/>
        </w:rPr>
        <w:t>代理人无转委托权，特此委托。</w:t>
      </w:r>
    </w:p>
    <w:p>
      <w:pPr>
        <w:spacing w:afterLines="0"/>
        <w:rPr>
          <w:szCs w:val="21"/>
        </w:rPr>
      </w:pPr>
    </w:p>
    <w:p>
      <w:pPr>
        <w:spacing w:afterLines="0" w:line="360" w:lineRule="auto"/>
        <w:ind w:firstLine="420" w:firstLineChars="200"/>
        <w:jc w:val="left"/>
        <w:rPr>
          <w:szCs w:val="21"/>
          <w:u w:val="single"/>
        </w:rPr>
      </w:pPr>
      <w:r>
        <w:rPr>
          <w:rFonts w:hint="eastAsia"/>
          <w:szCs w:val="21"/>
        </w:rPr>
        <w:t>代理人：</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年龄：</w:t>
      </w:r>
      <w:r>
        <w:rPr>
          <w:rFonts w:hint="eastAsia"/>
          <w:szCs w:val="21"/>
          <w:u w:val="single"/>
        </w:rPr>
        <w:t xml:space="preserve">                  </w:t>
      </w:r>
    </w:p>
    <w:p>
      <w:pPr>
        <w:spacing w:afterLines="0" w:line="360" w:lineRule="auto"/>
        <w:ind w:firstLine="420" w:firstLineChars="200"/>
        <w:jc w:val="left"/>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p>
    <w:p>
      <w:pPr>
        <w:spacing w:afterLines="0" w:line="360" w:lineRule="auto"/>
        <w:ind w:firstLine="420" w:firstLineChars="200"/>
        <w:jc w:val="left"/>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afterLines="0" w:line="360" w:lineRule="auto"/>
        <w:ind w:firstLine="420" w:firstLineChars="200"/>
        <w:jc w:val="left"/>
        <w:rPr>
          <w:szCs w:val="21"/>
          <w:u w:val="single"/>
        </w:rPr>
      </w:pPr>
      <w:r>
        <w:rPr>
          <w:rFonts w:hint="eastAsia"/>
          <w:szCs w:val="21"/>
        </w:rPr>
        <w:t>投标人：</w:t>
      </w:r>
      <w:r>
        <w:rPr>
          <w:rFonts w:hint="eastAsia"/>
          <w:szCs w:val="21"/>
          <w:u w:val="single"/>
        </w:rPr>
        <w:t xml:space="preserve">                  </w:t>
      </w:r>
    </w:p>
    <w:p>
      <w:pPr>
        <w:spacing w:afterLines="0" w:line="360" w:lineRule="auto"/>
        <w:ind w:firstLine="420" w:firstLineChars="200"/>
        <w:jc w:val="left"/>
        <w:rPr>
          <w:szCs w:val="21"/>
          <w:u w:val="single"/>
        </w:rPr>
      </w:pPr>
      <w:r>
        <w:rPr>
          <w:rFonts w:hint="eastAsia"/>
          <w:szCs w:val="21"/>
        </w:rPr>
        <w:t>法定代表人</w:t>
      </w:r>
      <w:r>
        <w:rPr>
          <w:rFonts w:hint="eastAsia" w:cs="Arial"/>
        </w:rPr>
        <w:t>（或负责人）</w:t>
      </w:r>
      <w:r>
        <w:rPr>
          <w:rFonts w:hint="eastAsia"/>
          <w:szCs w:val="21"/>
        </w:rPr>
        <w:t>：</w:t>
      </w:r>
      <w:r>
        <w:rPr>
          <w:rFonts w:hint="eastAsia"/>
          <w:szCs w:val="21"/>
          <w:u w:val="single"/>
        </w:rPr>
        <w:t xml:space="preserve">                  </w:t>
      </w:r>
    </w:p>
    <w:p>
      <w:pPr>
        <w:spacing w:afterLines="0" w:line="360" w:lineRule="auto"/>
        <w:ind w:firstLine="420" w:firstLineChars="200"/>
        <w:jc w:val="left"/>
        <w:rPr>
          <w:szCs w:val="21"/>
        </w:rPr>
      </w:pPr>
      <w:r>
        <w:rPr>
          <w:rFonts w:hint="eastAsia"/>
          <w:szCs w:val="21"/>
        </w:rPr>
        <w:t>授权委托日期：年月日</w:t>
      </w:r>
    </w:p>
    <w:p>
      <w:pPr>
        <w:pStyle w:val="8"/>
        <w:spacing w:afterLines="0" w:line="500" w:lineRule="exact"/>
        <w:ind w:firstLine="480"/>
      </w:pPr>
    </w:p>
    <w:p>
      <w:pPr>
        <w:spacing w:afterLines="0"/>
        <w:rPr>
          <w:rFonts w:ascii="仿宋_GB2312" w:eastAsia="仿宋_GB2312"/>
          <w:b/>
          <w:color w:val="FF0000"/>
          <w:sz w:val="32"/>
          <w:szCs w:val="32"/>
        </w:rPr>
      </w:pPr>
      <w:r>
        <w:rPr>
          <w:rFonts w:hint="eastAsia" w:ascii="仿宋_GB2312" w:eastAsia="仿宋_GB2312"/>
          <w:b/>
          <w:color w:val="FF0000"/>
          <w:sz w:val="32"/>
          <w:szCs w:val="32"/>
        </w:rPr>
        <w:t>★必须提供投标代表人有效期内身份证的正反面扫描件。（若投标代表人为法定代表人则不需提供法定代表人授权书）</w:t>
      </w:r>
    </w:p>
    <w:p>
      <w:pPr>
        <w:spacing w:afterLines="0"/>
        <w:rPr>
          <w:rFonts w:ascii="仿宋_GB2312" w:eastAsia="仿宋_GB2312"/>
          <w:sz w:val="32"/>
          <w:szCs w:val="32"/>
        </w:rPr>
      </w:pPr>
      <w:r>
        <w:rPr>
          <w:rFonts w:ascii="仿宋_GB2312" w:eastAsia="仿宋_GB2312"/>
          <w:sz w:val="32"/>
          <w:szCs w:val="32"/>
        </w:rPr>
        <w:tab/>
      </w:r>
    </w:p>
    <w:p>
      <w:pPr>
        <w:spacing w:afterLines="0"/>
        <w:jc w:val="left"/>
        <w:rPr>
          <w:rFonts w:cs="Arial"/>
        </w:rPr>
      </w:pPr>
    </w:p>
    <w:p>
      <w:pPr>
        <w:spacing w:afterLines="0"/>
        <w:rPr>
          <w:rFonts w:cs="Arial"/>
        </w:rPr>
      </w:pPr>
    </w:p>
    <w:p>
      <w:pPr>
        <w:spacing w:afterLines="0"/>
        <w:jc w:val="center"/>
        <w:rPr>
          <w:rFonts w:cs="Arial"/>
        </w:rPr>
      </w:pPr>
    </w:p>
    <w:p>
      <w:pPr>
        <w:spacing w:afterLines="0"/>
        <w:ind w:firstLine="420" w:firstLineChars="200"/>
      </w:pPr>
    </w:p>
    <w:p>
      <w:pPr>
        <w:spacing w:afterLines="0"/>
        <w:ind w:firstLine="420" w:firstLineChars="200"/>
      </w:pPr>
    </w:p>
    <w:p>
      <w:pPr>
        <w:spacing w:after="60"/>
        <w:jc w:val="center"/>
        <w:rPr>
          <w:rFonts w:ascii="宋体" w:hAnsi="宋体"/>
          <w:b/>
          <w:sz w:val="24"/>
          <w:szCs w:val="20"/>
        </w:rPr>
      </w:pPr>
    </w:p>
    <w:p>
      <w:pPr>
        <w:widowControl/>
        <w:spacing w:afterLines="0" w:line="240" w:lineRule="auto"/>
        <w:jc w:val="left"/>
        <w:rPr>
          <w:rFonts w:ascii="宋体" w:hAnsi="宋体"/>
          <w:b/>
          <w:sz w:val="24"/>
          <w:szCs w:val="20"/>
        </w:rPr>
      </w:pPr>
      <w:r>
        <w:rPr>
          <w:rFonts w:ascii="宋体" w:hAnsi="宋体"/>
          <w:b/>
          <w:sz w:val="24"/>
          <w:szCs w:val="20"/>
        </w:rPr>
        <w:br w:type="page"/>
      </w:r>
    </w:p>
    <w:p>
      <w:pPr>
        <w:pStyle w:val="3"/>
        <w:pageBreakBefore/>
        <w:adjustRightInd w:val="0"/>
        <w:spacing w:after="60" w:line="240" w:lineRule="auto"/>
        <w:jc w:val="center"/>
        <w:textAlignment w:val="baseline"/>
        <w:rPr>
          <w:b w:val="0"/>
          <w:szCs w:val="21"/>
        </w:rPr>
      </w:pPr>
      <w:r>
        <w:rPr>
          <w:rFonts w:hint="eastAsia" w:ascii="宋体" w:hAnsi="宋体" w:eastAsia="宋体"/>
          <w:sz w:val="24"/>
          <w:szCs w:val="20"/>
        </w:rPr>
        <w:t>3</w:t>
      </w:r>
      <w:r>
        <w:rPr>
          <w:rFonts w:ascii="宋体" w:hAnsi="宋体" w:eastAsia="宋体"/>
          <w:sz w:val="24"/>
          <w:szCs w:val="20"/>
        </w:rPr>
        <w:t>.</w:t>
      </w:r>
      <w:r>
        <w:rPr>
          <w:rFonts w:hint="eastAsia" w:ascii="宋体" w:hAnsi="宋体" w:eastAsia="宋体"/>
          <w:sz w:val="24"/>
          <w:szCs w:val="20"/>
        </w:rPr>
        <w:t>服务方案</w:t>
      </w:r>
    </w:p>
    <w:p>
      <w:pPr>
        <w:spacing w:after="60"/>
        <w:jc w:val="center"/>
        <w:rPr>
          <w:szCs w:val="21"/>
        </w:rPr>
      </w:pPr>
    </w:p>
    <w:p>
      <w:pPr>
        <w:spacing w:after="60"/>
        <w:jc w:val="center"/>
        <w:rPr>
          <w:rFonts w:ascii="宋体"/>
          <w:kern w:val="0"/>
          <w:sz w:val="24"/>
          <w:szCs w:val="20"/>
        </w:rPr>
      </w:pPr>
      <w:r>
        <w:rPr>
          <w:rFonts w:hint="eastAsia"/>
          <w:szCs w:val="21"/>
        </w:rPr>
        <w:t>（评标信息表中要求的各项方案，根据具体项目要求进行调整，投标人格式自拟）</w:t>
      </w:r>
    </w:p>
    <w:p>
      <w:pPr>
        <w:spacing w:afterLines="0"/>
        <w:ind w:firstLine="420" w:firstLineChars="200"/>
        <w:rPr>
          <w:rFonts w:asciiTheme="minorEastAsia" w:hAnsiTheme="minorEastAsia" w:eastAsiaTheme="minorEastAsia"/>
        </w:rPr>
      </w:pPr>
      <w:r>
        <w:rPr>
          <w:rFonts w:hint="eastAsia" w:asciiTheme="minorEastAsia" w:hAnsiTheme="minorEastAsia" w:eastAsiaTheme="minorEastAsia"/>
        </w:rPr>
        <w:t>（1）整体方案</w:t>
      </w:r>
    </w:p>
    <w:p>
      <w:pPr>
        <w:spacing w:afterLines="0"/>
        <w:ind w:firstLine="420" w:firstLineChars="200"/>
        <w:rPr>
          <w:rFonts w:asciiTheme="minorEastAsia" w:hAnsiTheme="minorEastAsia" w:eastAsiaTheme="minorEastAsia"/>
        </w:rPr>
      </w:pPr>
      <w:r>
        <w:rPr>
          <w:rFonts w:hint="eastAsia" w:asciiTheme="minorEastAsia" w:hAnsiTheme="minorEastAsia" w:eastAsiaTheme="minorEastAsia"/>
        </w:rPr>
        <w:t>（2）工作安排及合理化</w:t>
      </w:r>
      <w:r>
        <w:rPr>
          <w:rFonts w:hint="eastAsia" w:ascii="宋体" w:hAnsi="宋体" w:cs="宋体"/>
          <w:kern w:val="0"/>
          <w:szCs w:val="21"/>
        </w:rPr>
        <w:t>建议</w:t>
      </w:r>
    </w:p>
    <w:p>
      <w:pPr>
        <w:spacing w:afterLines="0"/>
        <w:ind w:firstLine="420" w:firstLineChars="200"/>
        <w:rPr>
          <w:rFonts w:asciiTheme="minorEastAsia" w:hAnsiTheme="minorEastAsia" w:eastAsiaTheme="minorEastAsia"/>
          <w:szCs w:val="21"/>
        </w:rPr>
      </w:pPr>
      <w:r>
        <w:rPr>
          <w:rFonts w:hint="eastAsia" w:asciiTheme="minorEastAsia" w:hAnsiTheme="minorEastAsia" w:eastAsiaTheme="minorEastAsia"/>
        </w:rPr>
        <w:t>（3）服务保障措施</w:t>
      </w:r>
    </w:p>
    <w:p>
      <w:pPr>
        <w:spacing w:afterLines="0"/>
        <w:ind w:firstLine="420" w:firstLineChars="200"/>
        <w:rPr>
          <w:rFonts w:ascii="宋体" w:hAnsi="宋体"/>
          <w:szCs w:val="21"/>
        </w:rPr>
      </w:pPr>
      <w:r>
        <w:rPr>
          <w:rFonts w:hint="eastAsia" w:asciiTheme="minorEastAsia" w:hAnsiTheme="minorEastAsia" w:eastAsiaTheme="minorEastAsia"/>
          <w:szCs w:val="21"/>
        </w:rPr>
        <w:t>（4）</w:t>
      </w:r>
      <w:r>
        <w:rPr>
          <w:rFonts w:hint="eastAsia" w:ascii="宋体" w:hAnsi="宋体"/>
          <w:szCs w:val="21"/>
        </w:rPr>
        <w:t>违约承诺</w:t>
      </w:r>
    </w:p>
    <w:p>
      <w:pPr>
        <w:spacing w:afterLines="0"/>
        <w:ind w:firstLine="420" w:firstLineChars="200"/>
        <w:rPr>
          <w:rFonts w:asciiTheme="minorEastAsia" w:hAnsiTheme="minorEastAsia" w:eastAsiaTheme="minorEastAsia"/>
          <w:szCs w:val="21"/>
        </w:rPr>
      </w:pPr>
      <w:r>
        <w:rPr>
          <w:rFonts w:hint="eastAsia" w:ascii="宋体" w:hAnsi="宋体"/>
          <w:szCs w:val="21"/>
        </w:rPr>
        <w:t>（5）</w:t>
      </w:r>
      <w:r>
        <w:rPr>
          <w:rFonts w:asciiTheme="minorEastAsia" w:hAnsiTheme="minorEastAsia" w:eastAsiaTheme="minorEastAsia"/>
          <w:szCs w:val="21"/>
        </w:rPr>
        <w:t>……</w:t>
      </w:r>
    </w:p>
    <w:p>
      <w:pPr>
        <w:spacing w:afterLines="0"/>
        <w:ind w:firstLine="420" w:firstLineChars="200"/>
        <w:rPr>
          <w:rFonts w:asciiTheme="minorEastAsia" w:hAnsiTheme="minorEastAsia" w:eastAsiaTheme="minorEastAsia"/>
          <w:szCs w:val="21"/>
        </w:rPr>
      </w:pPr>
    </w:p>
    <w:p>
      <w:pPr>
        <w:widowControl/>
        <w:spacing w:afterLines="0" w:line="240" w:lineRule="auto"/>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3"/>
        <w:tabs>
          <w:tab w:val="left" w:pos="720"/>
        </w:tabs>
        <w:adjustRightInd w:val="0"/>
        <w:spacing w:beforeLines="50" w:afterLines="50" w:line="360" w:lineRule="auto"/>
        <w:jc w:val="center"/>
        <w:textAlignment w:val="baseline"/>
        <w:rPr>
          <w:rStyle w:val="54"/>
          <w:b/>
          <w:bCs/>
        </w:rPr>
      </w:pPr>
      <w:r>
        <w:rPr>
          <w:rFonts w:hint="eastAsia"/>
          <w:sz w:val="28"/>
          <w:szCs w:val="28"/>
        </w:rPr>
        <w:t>第五章  合同条款及格式（供参考）</w:t>
      </w:r>
    </w:p>
    <w:p>
      <w:pPr>
        <w:spacing w:after="60"/>
        <w:jc w:val="center"/>
      </w:pPr>
      <w:r>
        <w:rPr>
          <w:rFonts w:hint="eastAsia"/>
          <w:b/>
          <w:sz w:val="24"/>
        </w:rPr>
        <w:t>（合同格式仅供参考，具体内容以最终签订的为准）</w:t>
      </w:r>
    </w:p>
    <w:p>
      <w:pPr>
        <w:spacing w:after="60"/>
        <w:rPr>
          <w:rFonts w:ascii="宋体" w:hAnsi="宋体"/>
          <w:b/>
          <w:bCs/>
          <w:szCs w:val="21"/>
        </w:rPr>
      </w:pPr>
    </w:p>
    <w:p>
      <w:pPr>
        <w:spacing w:after="60"/>
        <w:rPr>
          <w:rFonts w:ascii="宋体" w:hAnsi="宋体"/>
          <w:b/>
          <w:bCs/>
          <w:szCs w:val="21"/>
        </w:rPr>
      </w:pPr>
      <w:r>
        <w:rPr>
          <w:rFonts w:hint="eastAsia" w:ascii="宋体" w:hAnsi="宋体"/>
          <w:b/>
          <w:bCs/>
          <w:szCs w:val="21"/>
        </w:rPr>
        <w:t>甲方：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spacing w:after="60"/>
        <w:rPr>
          <w:rFonts w:ascii="宋体" w:hAnsi="宋体"/>
          <w:b/>
          <w:bCs/>
          <w:szCs w:val="21"/>
        </w:rPr>
      </w:pPr>
      <w:r>
        <w:rPr>
          <w:rFonts w:hint="eastAsia" w:ascii="宋体" w:hAnsi="宋体"/>
          <w:b/>
          <w:bCs/>
          <w:szCs w:val="21"/>
        </w:rPr>
        <w:t>乙方：</w:t>
      </w: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spacing w:after="60"/>
        <w:rPr>
          <w:rFonts w:ascii="宋体" w:hAnsi="宋体"/>
          <w:szCs w:val="21"/>
        </w:rPr>
      </w:pPr>
    </w:p>
    <w:p>
      <w:pPr>
        <w:spacing w:after="60"/>
        <w:rPr>
          <w:rFonts w:ascii="宋体" w:hAnsi="宋体"/>
          <w:szCs w:val="21"/>
        </w:rPr>
      </w:pPr>
    </w:p>
    <w:p>
      <w:pPr>
        <w:spacing w:after="60"/>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（招标代理机构），          </w:t>
      </w:r>
      <w:r>
        <w:rPr>
          <w:rFonts w:hint="eastAsia" w:ascii="宋体" w:hAnsi="宋体"/>
          <w:szCs w:val="21"/>
        </w:rPr>
        <w:t>招标项目的投标结果，由</w:t>
      </w:r>
      <w:r>
        <w:rPr>
          <w:rFonts w:hint="eastAsia" w:ascii="宋体" w:hAnsi="宋体"/>
          <w:szCs w:val="21"/>
          <w:u w:val="single"/>
        </w:rPr>
        <w:t xml:space="preserve">             </w:t>
      </w:r>
      <w:r>
        <w:rPr>
          <w:rFonts w:hint="eastAsia" w:ascii="宋体" w:hAnsi="宋体"/>
          <w:szCs w:val="21"/>
        </w:rPr>
        <w:t>单位为中标方。按照《中华人民共和国民法典》和《深圳经济特区政府采购条例》，经深圳市</w:t>
      </w:r>
      <w:r>
        <w:rPr>
          <w:rFonts w:hint="eastAsia" w:ascii="宋体" w:hAnsi="宋体"/>
          <w:szCs w:val="21"/>
          <w:u w:val="single"/>
        </w:rPr>
        <w:t xml:space="preserve">         </w:t>
      </w:r>
      <w:r>
        <w:rPr>
          <w:rFonts w:hint="eastAsia" w:ascii="宋体" w:hAnsi="宋体"/>
          <w:szCs w:val="21"/>
        </w:rPr>
        <w:t>（以下简称甲方）和</w:t>
      </w:r>
      <w:r>
        <w:rPr>
          <w:rFonts w:hint="eastAsia" w:ascii="宋体" w:hAnsi="宋体"/>
          <w:szCs w:val="21"/>
          <w:u w:val="single"/>
        </w:rPr>
        <w:t xml:space="preserve">                          </w:t>
      </w:r>
      <w:r>
        <w:rPr>
          <w:rFonts w:hint="eastAsia" w:ascii="宋体" w:hAnsi="宋体"/>
          <w:szCs w:val="21"/>
        </w:rPr>
        <w:t>单位（以下简称乙方）协商，就甲方委托乙方承担</w:t>
      </w:r>
      <w:r>
        <w:rPr>
          <w:rFonts w:hint="eastAsia" w:ascii="宋体" w:hAnsi="宋体"/>
          <w:b/>
          <w:bCs/>
          <w:snapToGrid w:val="0"/>
          <w:kern w:val="0"/>
          <w:szCs w:val="21"/>
          <w:u w:val="single"/>
          <w:lang w:val="zh-CN"/>
        </w:rPr>
        <w:t xml:space="preserve">                         XX项目</w:t>
      </w:r>
      <w:r>
        <w:rPr>
          <w:rFonts w:hint="eastAsia" w:ascii="宋体" w:hAnsi="宋体"/>
          <w:szCs w:val="21"/>
        </w:rPr>
        <w:t>，达成以下合同条款：</w:t>
      </w:r>
    </w:p>
    <w:p>
      <w:pPr>
        <w:spacing w:after="60"/>
        <w:ind w:firstLine="421" w:firstLineChars="200"/>
        <w:rPr>
          <w:rFonts w:ascii="宋体" w:hAnsi="宋体"/>
          <w:b/>
          <w:bCs/>
          <w:szCs w:val="21"/>
        </w:rPr>
      </w:pPr>
      <w:r>
        <w:rPr>
          <w:rFonts w:hint="eastAsia" w:ascii="宋体" w:hAnsi="宋体"/>
          <w:b/>
          <w:bCs/>
          <w:szCs w:val="21"/>
        </w:rPr>
        <w:t>第一条　项目概况</w:t>
      </w:r>
    </w:p>
    <w:p>
      <w:pPr>
        <w:spacing w:after="60"/>
        <w:ind w:firstLine="420" w:firstLineChars="200"/>
        <w:rPr>
          <w:rFonts w:ascii="宋体" w:hAnsi="宋体"/>
          <w:szCs w:val="21"/>
        </w:rPr>
      </w:pPr>
      <w:r>
        <w:rPr>
          <w:rFonts w:hint="eastAsia" w:ascii="宋体" w:hAnsi="宋体"/>
          <w:szCs w:val="21"/>
        </w:rPr>
        <w:t xml:space="preserve">项目名称： </w:t>
      </w:r>
    </w:p>
    <w:p>
      <w:pPr>
        <w:spacing w:after="60"/>
        <w:ind w:firstLine="420" w:firstLineChars="200"/>
        <w:rPr>
          <w:rFonts w:ascii="宋体" w:hAnsi="宋体"/>
          <w:szCs w:val="21"/>
        </w:rPr>
      </w:pPr>
      <w:r>
        <w:rPr>
          <w:rFonts w:hint="eastAsia" w:ascii="宋体" w:hAnsi="宋体"/>
          <w:szCs w:val="21"/>
        </w:rPr>
        <w:t xml:space="preserve">项目内容： </w:t>
      </w:r>
    </w:p>
    <w:p>
      <w:pPr>
        <w:spacing w:after="60"/>
        <w:ind w:firstLine="420" w:firstLineChars="200"/>
        <w:rPr>
          <w:rFonts w:ascii="宋体" w:hAnsi="宋体"/>
          <w:szCs w:val="21"/>
        </w:rPr>
      </w:pPr>
      <w:r>
        <w:rPr>
          <w:rFonts w:hint="eastAsia" w:ascii="宋体" w:hAnsi="宋体"/>
          <w:szCs w:val="21"/>
        </w:rPr>
        <w:t xml:space="preserve">服务时间： </w:t>
      </w:r>
    </w:p>
    <w:p>
      <w:pPr>
        <w:spacing w:after="60"/>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pStyle w:val="8"/>
        <w:spacing w:after="60"/>
        <w:ind w:firstLine="480"/>
        <w:rPr>
          <w:rFonts w:ascii="宋体" w:hAnsi="宋体"/>
          <w:szCs w:val="21"/>
        </w:rPr>
      </w:pPr>
      <w:r>
        <w:rPr>
          <w:rFonts w:hint="eastAsia" w:ascii="宋体" w:hAnsi="宋体"/>
          <w:szCs w:val="21"/>
        </w:rPr>
        <w:t>支付方式：分期支付。</w:t>
      </w:r>
    </w:p>
    <w:p>
      <w:pPr>
        <w:spacing w:after="60"/>
        <w:ind w:firstLine="421" w:firstLineChars="200"/>
        <w:rPr>
          <w:rFonts w:ascii="宋体" w:hAnsi="宋体"/>
          <w:b/>
          <w:bCs/>
          <w:szCs w:val="21"/>
        </w:rPr>
      </w:pPr>
      <w:r>
        <w:rPr>
          <w:rFonts w:hint="eastAsia" w:ascii="宋体" w:hAnsi="宋体"/>
          <w:b/>
          <w:bCs/>
          <w:szCs w:val="21"/>
        </w:rPr>
        <w:t>第二条  服务范围</w:t>
      </w:r>
    </w:p>
    <w:p>
      <w:pPr>
        <w:spacing w:after="60"/>
        <w:ind w:firstLine="420" w:firstLineChars="200"/>
        <w:rPr>
          <w:rFonts w:ascii="宋体" w:hAnsi="宋体"/>
          <w:szCs w:val="21"/>
        </w:rPr>
      </w:pPr>
      <w:r>
        <w:rPr>
          <w:rFonts w:hint="eastAsia" w:ascii="宋体" w:hAnsi="宋体"/>
          <w:szCs w:val="21"/>
        </w:rPr>
        <w:t xml:space="preserve">1、  </w:t>
      </w:r>
    </w:p>
    <w:p>
      <w:pPr>
        <w:spacing w:after="60"/>
        <w:ind w:firstLine="420" w:firstLineChars="200"/>
        <w:rPr>
          <w:rFonts w:ascii="宋体" w:hAnsi="宋体"/>
          <w:szCs w:val="21"/>
        </w:rPr>
      </w:pPr>
      <w:r>
        <w:rPr>
          <w:rFonts w:hint="eastAsia" w:ascii="宋体" w:hAnsi="宋体"/>
          <w:szCs w:val="21"/>
        </w:rPr>
        <w:t xml:space="preserve">2、  </w:t>
      </w:r>
    </w:p>
    <w:p>
      <w:pPr>
        <w:spacing w:after="60"/>
        <w:ind w:firstLine="420" w:firstLineChars="200"/>
        <w:rPr>
          <w:rFonts w:ascii="宋体" w:hAnsi="宋体"/>
          <w:szCs w:val="21"/>
        </w:rPr>
      </w:pPr>
      <w:r>
        <w:rPr>
          <w:rFonts w:ascii="宋体" w:hAnsi="宋体"/>
          <w:szCs w:val="21"/>
        </w:rPr>
        <w:t>……</w:t>
      </w:r>
    </w:p>
    <w:p>
      <w:pPr>
        <w:spacing w:after="60"/>
        <w:ind w:firstLine="421" w:firstLineChars="200"/>
        <w:rPr>
          <w:rFonts w:ascii="宋体" w:hAnsi="宋体"/>
          <w:b/>
          <w:bCs/>
          <w:szCs w:val="21"/>
        </w:rPr>
      </w:pPr>
      <w:r>
        <w:rPr>
          <w:rFonts w:hint="eastAsia" w:ascii="宋体" w:hAnsi="宋体"/>
          <w:b/>
          <w:bCs/>
          <w:szCs w:val="21"/>
        </w:rPr>
        <w:t>第三条  时间要求及阶段成果</w:t>
      </w:r>
    </w:p>
    <w:p>
      <w:pPr>
        <w:spacing w:after="60"/>
        <w:ind w:firstLine="420" w:firstLineChars="200"/>
        <w:rPr>
          <w:rFonts w:ascii="宋体" w:hAnsi="宋体"/>
          <w:szCs w:val="21"/>
        </w:rPr>
      </w:pPr>
      <w:r>
        <w:rPr>
          <w:rFonts w:hint="eastAsia" w:ascii="宋体" w:hAnsi="宋体"/>
          <w:szCs w:val="21"/>
        </w:rPr>
        <w:t>1、合同签订</w:t>
      </w:r>
      <w:r>
        <w:rPr>
          <w:rFonts w:hint="eastAsia" w:ascii="宋体" w:hAnsi="宋体"/>
          <w:szCs w:val="21"/>
          <w:u w:val="single"/>
        </w:rPr>
        <w:t xml:space="preserve">   </w:t>
      </w:r>
      <w:r>
        <w:rPr>
          <w:rFonts w:hint="eastAsia" w:ascii="宋体" w:hAnsi="宋体"/>
          <w:szCs w:val="21"/>
        </w:rPr>
        <w:t>天内完成项目实施的准备工作，包括工作大纲和试验细则的编制；</w:t>
      </w:r>
    </w:p>
    <w:p>
      <w:pPr>
        <w:spacing w:after="60"/>
        <w:ind w:firstLine="420" w:firstLineChars="200"/>
        <w:rPr>
          <w:rFonts w:ascii="宋体" w:hAnsi="宋体"/>
          <w:szCs w:val="21"/>
        </w:rPr>
      </w:pPr>
      <w:r>
        <w:rPr>
          <w:rFonts w:hint="eastAsia" w:ascii="宋体" w:hAnsi="宋体"/>
          <w:szCs w:val="21"/>
        </w:rPr>
        <w:t xml:space="preserve">2、 </w:t>
      </w:r>
    </w:p>
    <w:p>
      <w:pPr>
        <w:spacing w:after="60"/>
        <w:ind w:firstLine="420" w:firstLineChars="200"/>
        <w:rPr>
          <w:rFonts w:ascii="宋体" w:hAnsi="宋体"/>
          <w:szCs w:val="21"/>
        </w:rPr>
      </w:pPr>
      <w:r>
        <w:rPr>
          <w:rFonts w:ascii="宋体" w:hAnsi="宋体"/>
          <w:szCs w:val="21"/>
        </w:rPr>
        <w:t>……</w:t>
      </w:r>
    </w:p>
    <w:p>
      <w:pPr>
        <w:spacing w:after="60"/>
        <w:ind w:firstLine="421" w:firstLineChars="200"/>
        <w:rPr>
          <w:rFonts w:ascii="宋体" w:hAnsi="宋体"/>
          <w:b/>
          <w:bCs/>
          <w:szCs w:val="21"/>
        </w:rPr>
      </w:pPr>
      <w:r>
        <w:rPr>
          <w:rFonts w:hint="eastAsia" w:ascii="宋体" w:hAnsi="宋体"/>
          <w:b/>
          <w:bCs/>
          <w:szCs w:val="21"/>
        </w:rPr>
        <w:t>第四条  咨询服务资料归属</w:t>
      </w:r>
    </w:p>
    <w:p>
      <w:pPr>
        <w:spacing w:after="60"/>
        <w:ind w:firstLine="420" w:firstLineChars="200"/>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spacing w:after="60"/>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pPr>
        <w:spacing w:after="60"/>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spacing w:after="60"/>
        <w:ind w:firstLine="421" w:firstLineChars="200"/>
        <w:rPr>
          <w:rFonts w:ascii="宋体" w:hAnsi="宋体"/>
          <w:b/>
          <w:bCs/>
          <w:szCs w:val="21"/>
        </w:rPr>
      </w:pPr>
      <w:r>
        <w:rPr>
          <w:rFonts w:hint="eastAsia" w:ascii="宋体" w:hAnsi="宋体"/>
          <w:b/>
          <w:bCs/>
          <w:szCs w:val="21"/>
        </w:rPr>
        <w:t>第五条  甲方的义务</w:t>
      </w:r>
    </w:p>
    <w:p>
      <w:pPr>
        <w:spacing w:after="60"/>
        <w:ind w:firstLine="420" w:firstLineChars="200"/>
        <w:rPr>
          <w:rFonts w:ascii="宋体" w:hAnsi="宋体"/>
          <w:szCs w:val="21"/>
        </w:rPr>
      </w:pPr>
      <w:r>
        <w:rPr>
          <w:rFonts w:hint="eastAsia" w:ascii="宋体" w:hAnsi="宋体"/>
          <w:szCs w:val="21"/>
        </w:rPr>
        <w:t>1、负责与本咨询服务项目有关的第三方的协调，提供开展咨询服务工作的外部条件。</w:t>
      </w:r>
    </w:p>
    <w:p>
      <w:pPr>
        <w:spacing w:after="60"/>
        <w:ind w:firstLine="420" w:firstLineChars="200"/>
        <w:rPr>
          <w:rFonts w:ascii="宋体" w:hAnsi="宋体"/>
          <w:szCs w:val="21"/>
        </w:rPr>
      </w:pPr>
      <w:r>
        <w:rPr>
          <w:rFonts w:hint="eastAsia" w:ascii="宋体" w:hAnsi="宋体"/>
          <w:szCs w:val="21"/>
        </w:rPr>
        <w:t>2、向乙方提供与本项目咨询服务工作有关的资料。</w:t>
      </w:r>
    </w:p>
    <w:p>
      <w:pPr>
        <w:spacing w:after="60"/>
        <w:ind w:firstLine="420" w:firstLineChars="200"/>
        <w:rPr>
          <w:rFonts w:ascii="宋体" w:hAnsi="宋体"/>
          <w:szCs w:val="21"/>
        </w:rPr>
      </w:pPr>
      <w:r>
        <w:rPr>
          <w:rFonts w:hint="eastAsia" w:ascii="宋体" w:hAnsi="宋体"/>
          <w:szCs w:val="21"/>
        </w:rPr>
        <w:t>3、负责组织有关专家对项目试验成果评估报告的评审。</w:t>
      </w:r>
    </w:p>
    <w:p>
      <w:pPr>
        <w:spacing w:after="60"/>
        <w:ind w:firstLine="421" w:firstLineChars="200"/>
        <w:rPr>
          <w:rFonts w:ascii="宋体" w:hAnsi="宋体"/>
          <w:b/>
          <w:bCs/>
          <w:szCs w:val="21"/>
        </w:rPr>
      </w:pPr>
      <w:r>
        <w:rPr>
          <w:rFonts w:hint="eastAsia" w:ascii="宋体" w:hAnsi="宋体"/>
          <w:b/>
          <w:bCs/>
          <w:szCs w:val="21"/>
        </w:rPr>
        <w:t>第七条　乙方的义务</w:t>
      </w:r>
    </w:p>
    <w:p>
      <w:pPr>
        <w:spacing w:after="60"/>
        <w:ind w:firstLine="420" w:firstLineChars="200"/>
        <w:rPr>
          <w:rFonts w:ascii="宋体" w:hAnsi="宋体"/>
          <w:szCs w:val="21"/>
        </w:rPr>
      </w:pPr>
      <w:r>
        <w:rPr>
          <w:rFonts w:hint="eastAsia" w:ascii="宋体" w:hAnsi="宋体"/>
          <w:szCs w:val="21"/>
        </w:rPr>
        <w:t>1、应按照</w:t>
      </w:r>
      <w:r>
        <w:rPr>
          <w:rFonts w:hint="eastAsia" w:ascii="宋体" w:hAnsi="宋体"/>
          <w:szCs w:val="21"/>
          <w:u w:val="single"/>
        </w:rPr>
        <w:t xml:space="preserve">          </w:t>
      </w:r>
      <w:r>
        <w:rPr>
          <w:rFonts w:hint="eastAsia" w:ascii="宋体" w:hAnsi="宋体"/>
          <w:szCs w:val="21"/>
        </w:rPr>
        <w:t>招标文件、乙方投标文件要求按期完成本项目咨询服务工作。</w:t>
      </w:r>
    </w:p>
    <w:p>
      <w:pPr>
        <w:spacing w:after="60"/>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spacing w:after="60"/>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w:t>
      </w:r>
      <w:r>
        <w:rPr>
          <w:rFonts w:hint="eastAsia" w:ascii="宋体" w:hAnsi="宋体"/>
          <w:u w:val="single"/>
        </w:rPr>
        <w:t xml:space="preserve">      </w:t>
      </w:r>
      <w:r>
        <w:rPr>
          <w:rFonts w:hint="eastAsia" w:ascii="宋体" w:hAnsi="宋体"/>
        </w:rPr>
        <w:t>套，一套电子版文件。</w:t>
      </w:r>
    </w:p>
    <w:p>
      <w:pPr>
        <w:spacing w:after="60"/>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spacing w:after="60"/>
        <w:ind w:firstLine="421" w:firstLineChars="200"/>
        <w:rPr>
          <w:rFonts w:ascii="宋体" w:hAnsi="宋体"/>
          <w:b/>
          <w:bCs/>
          <w:szCs w:val="21"/>
        </w:rPr>
      </w:pPr>
      <w:r>
        <w:rPr>
          <w:rFonts w:hint="eastAsia" w:ascii="宋体" w:hAnsi="宋体"/>
          <w:b/>
          <w:bCs/>
          <w:szCs w:val="21"/>
        </w:rPr>
        <w:t>第八条  甲方的权利</w:t>
      </w:r>
    </w:p>
    <w:p>
      <w:pPr>
        <w:spacing w:after="60"/>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spacing w:after="60"/>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spacing w:after="60"/>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spacing w:after="60"/>
        <w:ind w:firstLine="421" w:firstLineChars="200"/>
        <w:rPr>
          <w:rFonts w:ascii="宋体" w:hAnsi="宋体"/>
          <w:b/>
          <w:bCs/>
          <w:szCs w:val="21"/>
        </w:rPr>
      </w:pPr>
      <w:r>
        <w:rPr>
          <w:rFonts w:hint="eastAsia" w:ascii="宋体" w:hAnsi="宋体"/>
          <w:b/>
          <w:bCs/>
          <w:szCs w:val="21"/>
        </w:rPr>
        <w:t>第九条  乙方的权利</w:t>
      </w:r>
    </w:p>
    <w:p>
      <w:pPr>
        <w:spacing w:after="60"/>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spacing w:after="60"/>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spacing w:after="60"/>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spacing w:after="60"/>
        <w:ind w:firstLine="421" w:firstLineChars="200"/>
        <w:rPr>
          <w:rFonts w:ascii="宋体" w:hAnsi="宋体"/>
          <w:b/>
          <w:bCs/>
          <w:szCs w:val="21"/>
        </w:rPr>
      </w:pPr>
      <w:r>
        <w:rPr>
          <w:rFonts w:hint="eastAsia" w:ascii="宋体" w:hAnsi="宋体"/>
          <w:b/>
          <w:bCs/>
          <w:szCs w:val="21"/>
        </w:rPr>
        <w:t>第十条  甲方的责任</w:t>
      </w:r>
    </w:p>
    <w:p>
      <w:pPr>
        <w:spacing w:after="60"/>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spacing w:after="60"/>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spacing w:after="60"/>
        <w:ind w:firstLine="421" w:firstLineChars="200"/>
        <w:rPr>
          <w:rFonts w:ascii="宋体" w:hAnsi="宋体"/>
          <w:b/>
          <w:bCs/>
          <w:szCs w:val="21"/>
        </w:rPr>
      </w:pPr>
      <w:r>
        <w:rPr>
          <w:rFonts w:hint="eastAsia" w:ascii="宋体" w:hAnsi="宋体"/>
          <w:b/>
          <w:bCs/>
          <w:szCs w:val="21"/>
        </w:rPr>
        <w:t>第十一条  乙方的责任</w:t>
      </w:r>
    </w:p>
    <w:p>
      <w:pPr>
        <w:spacing w:after="60"/>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spacing w:after="60"/>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spacing w:after="60"/>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spacing w:after="60"/>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spacing w:after="60"/>
        <w:ind w:firstLine="421" w:firstLineChars="200"/>
        <w:rPr>
          <w:rFonts w:ascii="宋体" w:hAnsi="宋体"/>
          <w:b/>
          <w:bCs/>
          <w:szCs w:val="21"/>
        </w:rPr>
      </w:pPr>
      <w:r>
        <w:rPr>
          <w:rFonts w:hint="eastAsia" w:ascii="宋体" w:hAnsi="宋体"/>
          <w:b/>
          <w:bCs/>
          <w:szCs w:val="21"/>
        </w:rPr>
        <w:t>第十二条  人员要求</w:t>
      </w:r>
    </w:p>
    <w:p>
      <w:pPr>
        <w:spacing w:after="60"/>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spacing w:after="60"/>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pPr>
        <w:spacing w:after="60"/>
        <w:ind w:firstLine="420" w:firstLineChars="200"/>
        <w:rPr>
          <w:rFonts w:ascii="宋体" w:hAnsi="宋体"/>
          <w:szCs w:val="21"/>
        </w:rPr>
      </w:pPr>
      <w:r>
        <w:rPr>
          <w:rFonts w:hint="eastAsia" w:ascii="宋体" w:hAnsi="宋体"/>
          <w:szCs w:val="21"/>
        </w:rPr>
        <w:t>3、必须以直属试验人员参与本项目服务，不得使用挂靠队伍。</w:t>
      </w:r>
    </w:p>
    <w:p>
      <w:pPr>
        <w:spacing w:after="60"/>
        <w:ind w:firstLine="421" w:firstLineChars="200"/>
        <w:rPr>
          <w:rFonts w:ascii="宋体" w:hAnsi="宋体"/>
          <w:b/>
          <w:bCs/>
          <w:szCs w:val="21"/>
        </w:rPr>
      </w:pPr>
      <w:r>
        <w:rPr>
          <w:rFonts w:hint="eastAsia" w:ascii="宋体" w:hAnsi="宋体"/>
          <w:b/>
          <w:bCs/>
          <w:szCs w:val="21"/>
        </w:rPr>
        <w:t>第十三条  乙方咨询服务工具要求</w:t>
      </w:r>
    </w:p>
    <w:p>
      <w:pPr>
        <w:spacing w:after="60"/>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spacing w:after="60"/>
        <w:ind w:firstLine="420" w:firstLineChars="200"/>
        <w:rPr>
          <w:rFonts w:ascii="宋体" w:hAnsi="宋体"/>
          <w:szCs w:val="21"/>
        </w:rPr>
      </w:pPr>
      <w:r>
        <w:rPr>
          <w:rFonts w:hint="eastAsia" w:ascii="宋体" w:hAnsi="宋体"/>
          <w:szCs w:val="21"/>
        </w:rPr>
        <w:t>2、乙方在提供服务过程中应自备车辆。</w:t>
      </w:r>
    </w:p>
    <w:p>
      <w:pPr>
        <w:spacing w:after="60"/>
        <w:ind w:firstLine="421" w:firstLineChars="200"/>
        <w:rPr>
          <w:rFonts w:ascii="宋体" w:hAnsi="宋体"/>
          <w:b/>
          <w:bCs/>
          <w:szCs w:val="21"/>
        </w:rPr>
      </w:pPr>
      <w:r>
        <w:rPr>
          <w:rFonts w:hint="eastAsia" w:ascii="宋体" w:hAnsi="宋体"/>
          <w:b/>
          <w:bCs/>
          <w:szCs w:val="21"/>
        </w:rPr>
        <w:t>第十四条  保密要求</w:t>
      </w:r>
    </w:p>
    <w:p>
      <w:pPr>
        <w:spacing w:after="60"/>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after="60"/>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spacing w:after="60"/>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spacing w:after="60"/>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spacing w:after="60"/>
        <w:ind w:firstLine="421" w:firstLineChars="200"/>
        <w:rPr>
          <w:rFonts w:ascii="宋体" w:hAnsi="宋体"/>
          <w:b/>
          <w:bCs/>
          <w:szCs w:val="21"/>
        </w:rPr>
      </w:pPr>
      <w:r>
        <w:rPr>
          <w:rFonts w:hint="eastAsia" w:ascii="宋体" w:hAnsi="宋体"/>
          <w:b/>
          <w:bCs/>
          <w:szCs w:val="21"/>
        </w:rPr>
        <w:t xml:space="preserve">第十五条  验收     </w:t>
      </w:r>
    </w:p>
    <w:p>
      <w:pPr>
        <w:spacing w:after="60"/>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spacing w:after="60"/>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pacing w:after="60"/>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号招标文件、乙方投标文件，国家和行业有关规范、规程和标准。</w:t>
      </w:r>
    </w:p>
    <w:p>
      <w:pPr>
        <w:spacing w:after="60"/>
        <w:ind w:firstLine="421" w:firstLineChars="200"/>
        <w:rPr>
          <w:rFonts w:ascii="宋体" w:hAnsi="宋体"/>
          <w:b/>
          <w:bCs/>
          <w:szCs w:val="21"/>
        </w:rPr>
      </w:pPr>
      <w:r>
        <w:rPr>
          <w:rFonts w:hint="eastAsia" w:ascii="宋体" w:hAnsi="宋体"/>
          <w:b/>
          <w:bCs/>
          <w:szCs w:val="21"/>
        </w:rPr>
        <w:t>第十六条  付款方式</w:t>
      </w:r>
    </w:p>
    <w:p>
      <w:pPr>
        <w:spacing w:after="60"/>
        <w:ind w:firstLine="420" w:firstLineChars="200"/>
        <w:rPr>
          <w:rFonts w:ascii="宋体" w:hAnsi="宋体"/>
          <w:szCs w:val="21"/>
        </w:rPr>
      </w:pPr>
      <w:r>
        <w:rPr>
          <w:rFonts w:hint="eastAsia" w:ascii="宋体" w:hAnsi="宋体"/>
          <w:szCs w:val="21"/>
        </w:rPr>
        <w:t>1、合同签订后</w:t>
      </w:r>
      <w:r>
        <w:rPr>
          <w:rFonts w:hint="eastAsia" w:ascii="宋体" w:hAnsi="宋体"/>
          <w:szCs w:val="21"/>
          <w:u w:val="single"/>
        </w:rPr>
        <w:t xml:space="preserve">     </w:t>
      </w:r>
      <w:r>
        <w:rPr>
          <w:rFonts w:hint="eastAsia" w:ascii="宋体" w:hAnsi="宋体"/>
          <w:szCs w:val="21"/>
        </w:rPr>
        <w:t>天内，甲方向乙方支付合同总价</w:t>
      </w:r>
      <w:r>
        <w:rPr>
          <w:rFonts w:hint="eastAsia" w:ascii="宋体" w:hAnsi="宋体"/>
          <w:szCs w:val="21"/>
          <w:u w:val="single"/>
        </w:rPr>
        <w:t xml:space="preserve">    </w:t>
      </w:r>
      <w:r>
        <w:rPr>
          <w:rFonts w:hint="eastAsia" w:ascii="宋体" w:hAnsi="宋体"/>
          <w:szCs w:val="21"/>
        </w:rPr>
        <w:t>%的款项。</w:t>
      </w:r>
    </w:p>
    <w:p>
      <w:pPr>
        <w:spacing w:after="60"/>
        <w:ind w:firstLine="420" w:firstLineChars="200"/>
        <w:rPr>
          <w:rFonts w:ascii="宋体" w:hAnsi="宋体"/>
          <w:szCs w:val="21"/>
        </w:rPr>
      </w:pPr>
      <w:r>
        <w:rPr>
          <w:rFonts w:hint="eastAsia" w:ascii="宋体" w:hAnsi="宋体"/>
          <w:szCs w:val="21"/>
        </w:rPr>
        <w:t>2、检测完成并提交评估报告后，甲方向乙方支付合同总价</w:t>
      </w:r>
      <w:r>
        <w:rPr>
          <w:rFonts w:hint="eastAsia" w:ascii="宋体" w:hAnsi="宋体"/>
          <w:szCs w:val="21"/>
          <w:u w:val="single"/>
        </w:rPr>
        <w:t xml:space="preserve">    </w:t>
      </w:r>
      <w:r>
        <w:rPr>
          <w:rFonts w:hint="eastAsia" w:ascii="宋体" w:hAnsi="宋体"/>
          <w:szCs w:val="21"/>
        </w:rPr>
        <w:t>%的款项。</w:t>
      </w:r>
    </w:p>
    <w:p>
      <w:pPr>
        <w:spacing w:after="60"/>
        <w:ind w:firstLine="420" w:firstLineChars="200"/>
        <w:rPr>
          <w:rFonts w:ascii="宋体" w:hAnsi="宋体"/>
          <w:szCs w:val="21"/>
        </w:rPr>
      </w:pPr>
      <w:r>
        <w:rPr>
          <w:rFonts w:hint="eastAsia" w:ascii="宋体" w:hAnsi="宋体"/>
          <w:szCs w:val="21"/>
        </w:rPr>
        <w:t>3、报告通过专家评审后，甲方向乙方支付合同总价</w:t>
      </w:r>
      <w:r>
        <w:rPr>
          <w:rFonts w:hint="eastAsia" w:ascii="宋体" w:hAnsi="宋体"/>
          <w:szCs w:val="21"/>
          <w:u w:val="single"/>
        </w:rPr>
        <w:t xml:space="preserve">    </w:t>
      </w:r>
      <w:r>
        <w:rPr>
          <w:rFonts w:hint="eastAsia" w:ascii="宋体" w:hAnsi="宋体"/>
          <w:szCs w:val="21"/>
        </w:rPr>
        <w:t>%的款项。</w:t>
      </w:r>
    </w:p>
    <w:p>
      <w:pPr>
        <w:spacing w:after="60"/>
        <w:ind w:firstLine="421" w:firstLineChars="200"/>
        <w:rPr>
          <w:rFonts w:ascii="宋体" w:hAnsi="宋体"/>
          <w:b/>
          <w:bCs/>
          <w:szCs w:val="21"/>
        </w:rPr>
      </w:pPr>
      <w:r>
        <w:rPr>
          <w:rFonts w:hint="eastAsia" w:ascii="宋体" w:hAnsi="宋体"/>
          <w:b/>
          <w:bCs/>
          <w:szCs w:val="21"/>
        </w:rPr>
        <w:t>第十七条  争议解决办法</w:t>
      </w:r>
    </w:p>
    <w:p>
      <w:pPr>
        <w:spacing w:after="60"/>
        <w:ind w:firstLine="420" w:firstLineChars="200"/>
        <w:rPr>
          <w:rFonts w:ascii="宋体" w:hAnsi="宋体"/>
          <w:szCs w:val="21"/>
        </w:rPr>
      </w:pPr>
      <w:r>
        <w:rPr>
          <w:rFonts w:hint="eastAsia" w:ascii="宋体" w:hAnsi="宋体"/>
          <w:szCs w:val="21"/>
        </w:rPr>
        <w:t>执行本合同发生的争议，由甲乙双方协商解决。</w:t>
      </w:r>
    </w:p>
    <w:p>
      <w:pPr>
        <w:spacing w:after="60"/>
        <w:ind w:firstLine="421" w:firstLineChars="200"/>
        <w:rPr>
          <w:rFonts w:ascii="宋体" w:hAnsi="宋体"/>
          <w:b/>
          <w:bCs/>
          <w:szCs w:val="21"/>
        </w:rPr>
      </w:pPr>
      <w:r>
        <w:rPr>
          <w:rFonts w:hint="eastAsia" w:ascii="宋体" w:hAnsi="宋体"/>
          <w:b/>
          <w:bCs/>
          <w:szCs w:val="21"/>
        </w:rPr>
        <w:t>第十八条  风险责任</w:t>
      </w:r>
    </w:p>
    <w:p>
      <w:pPr>
        <w:spacing w:after="60"/>
        <w:ind w:firstLine="420" w:firstLineChars="200"/>
        <w:rPr>
          <w:rFonts w:ascii="宋体" w:hAnsi="宋体"/>
          <w:szCs w:val="21"/>
        </w:rPr>
      </w:pPr>
      <w:r>
        <w:rPr>
          <w:rFonts w:hint="eastAsia" w:ascii="宋体" w:hAnsi="宋体"/>
          <w:szCs w:val="21"/>
        </w:rPr>
        <w:t>1、乙方应完全地按照</w:t>
      </w:r>
      <w:r>
        <w:rPr>
          <w:rFonts w:hint="eastAsia" w:ascii="宋体" w:hAnsi="宋体"/>
          <w:szCs w:val="21"/>
          <w:u w:val="single"/>
        </w:rPr>
        <w:t xml:space="preserve">           </w:t>
      </w:r>
      <w:r>
        <w:rPr>
          <w:rFonts w:hint="eastAsia" w:ascii="宋体" w:hAnsi="宋体"/>
          <w:szCs w:val="21"/>
        </w:rPr>
        <w:t>号招标文件的要求和乙方投标文件的承诺完成本项目，出于自身财务、技术、人力等原因导致项目失败的，应承担全部责任。</w:t>
      </w:r>
    </w:p>
    <w:p>
      <w:pPr>
        <w:spacing w:after="60"/>
        <w:ind w:firstLine="420" w:firstLineChars="200"/>
        <w:rPr>
          <w:rFonts w:ascii="宋体" w:hAnsi="宋体"/>
          <w:szCs w:val="21"/>
        </w:rPr>
      </w:pPr>
      <w:r>
        <w:rPr>
          <w:rFonts w:hint="eastAsia" w:ascii="宋体" w:hAnsi="宋体"/>
          <w:szCs w:val="21"/>
        </w:rPr>
        <w:t>2、乙方在实施荷载试验过程中应对自身的安全生产负责，若由乙方原因发生的各种事故甲方不承担任何责任。</w:t>
      </w:r>
    </w:p>
    <w:p>
      <w:pPr>
        <w:spacing w:after="60"/>
        <w:ind w:firstLine="421" w:firstLineChars="200"/>
        <w:rPr>
          <w:rFonts w:ascii="宋体" w:hAnsi="宋体"/>
          <w:b/>
          <w:bCs/>
          <w:szCs w:val="21"/>
        </w:rPr>
      </w:pPr>
      <w:r>
        <w:rPr>
          <w:rFonts w:hint="eastAsia" w:ascii="宋体" w:hAnsi="宋体"/>
          <w:b/>
          <w:bCs/>
          <w:szCs w:val="21"/>
        </w:rPr>
        <w:t>第十九条  违约责任</w:t>
      </w:r>
    </w:p>
    <w:p>
      <w:pPr>
        <w:pStyle w:val="19"/>
        <w:spacing w:line="240" w:lineRule="auto"/>
        <w:rPr>
          <w:rFonts w:ascii="宋体" w:hAnsi="宋体"/>
          <w:szCs w:val="21"/>
        </w:rPr>
      </w:pPr>
      <w:r>
        <w:rPr>
          <w:rFonts w:hint="eastAsia" w:ascii="宋体" w:hAnsi="宋体"/>
          <w:szCs w:val="21"/>
        </w:rPr>
        <w:t>1、因乙方原因，未能按规定时间完成有关工作的，每延误一天，甲方可在支付合同余款中扣除合同价款千分之一。</w:t>
      </w:r>
    </w:p>
    <w:p>
      <w:pPr>
        <w:spacing w:after="60"/>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spacing w:after="60"/>
        <w:ind w:firstLine="420" w:firstLineChars="200"/>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pPr>
        <w:spacing w:after="60"/>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spacing w:after="60"/>
        <w:ind w:firstLine="421" w:firstLineChars="200"/>
        <w:rPr>
          <w:rFonts w:ascii="宋体" w:hAnsi="宋体"/>
          <w:b/>
          <w:bCs/>
          <w:szCs w:val="21"/>
        </w:rPr>
      </w:pPr>
      <w:r>
        <w:rPr>
          <w:rFonts w:hint="eastAsia" w:ascii="宋体" w:hAnsi="宋体"/>
          <w:b/>
          <w:bCs/>
          <w:szCs w:val="21"/>
        </w:rPr>
        <w:t>第二十条  其他</w:t>
      </w:r>
    </w:p>
    <w:p>
      <w:pPr>
        <w:spacing w:after="60"/>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号招标文件、乙方投标文件如有抵触之处，以本合同条款为准。</w:t>
      </w:r>
    </w:p>
    <w:p>
      <w:pPr>
        <w:spacing w:after="60"/>
        <w:ind w:firstLine="420" w:firstLineChars="200"/>
        <w:rPr>
          <w:rFonts w:ascii="宋体" w:hAnsi="宋体"/>
          <w:szCs w:val="21"/>
        </w:rPr>
      </w:pPr>
      <w:r>
        <w:rPr>
          <w:rFonts w:hint="eastAsia" w:ascii="宋体" w:hAnsi="宋体"/>
          <w:szCs w:val="21"/>
        </w:rPr>
        <w:t>2、下列文件均为本合同的组成部分：</w:t>
      </w:r>
    </w:p>
    <w:p>
      <w:pPr>
        <w:spacing w:after="60"/>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号招标文件、答疑及补充通知；</w:t>
      </w:r>
    </w:p>
    <w:p>
      <w:pPr>
        <w:spacing w:after="60"/>
        <w:ind w:firstLine="420" w:firstLineChars="200"/>
        <w:rPr>
          <w:rFonts w:ascii="宋体" w:hAnsi="宋体"/>
          <w:szCs w:val="21"/>
        </w:rPr>
      </w:pPr>
      <w:r>
        <w:rPr>
          <w:rFonts w:hint="eastAsia" w:ascii="宋体" w:hAnsi="宋体"/>
          <w:szCs w:val="21"/>
        </w:rPr>
        <w:t>（2）投标文件；</w:t>
      </w:r>
    </w:p>
    <w:p>
      <w:pPr>
        <w:spacing w:after="60"/>
        <w:ind w:firstLine="420" w:firstLineChars="200"/>
        <w:rPr>
          <w:rFonts w:ascii="宋体" w:hAnsi="宋体"/>
          <w:szCs w:val="21"/>
        </w:rPr>
      </w:pPr>
      <w:r>
        <w:rPr>
          <w:rFonts w:hint="eastAsia" w:ascii="宋体" w:hAnsi="宋体"/>
          <w:szCs w:val="21"/>
        </w:rPr>
        <w:t>（3）本合同执行中共同签署的补充与修正文件。</w:t>
      </w:r>
    </w:p>
    <w:p>
      <w:pPr>
        <w:spacing w:after="60"/>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spacing w:after="60"/>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spacing w:after="60"/>
        <w:ind w:firstLine="420" w:firstLineChars="200"/>
        <w:rPr>
          <w:rFonts w:ascii="宋体" w:hAnsi="宋体"/>
          <w:szCs w:val="21"/>
        </w:rPr>
      </w:pPr>
    </w:p>
    <w:p>
      <w:pPr>
        <w:spacing w:after="60"/>
        <w:ind w:firstLine="420" w:firstLineChars="200"/>
        <w:rPr>
          <w:rFonts w:ascii="宋体" w:hAnsi="宋体"/>
          <w:szCs w:val="21"/>
        </w:rPr>
      </w:pPr>
    </w:p>
    <w:p>
      <w:pPr>
        <w:spacing w:after="60"/>
        <w:rPr>
          <w:rFonts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spacing w:after="60"/>
        <w:ind w:firstLine="1890" w:firstLineChars="900"/>
        <w:rPr>
          <w:rFonts w:ascii="宋体" w:hAnsi="宋体"/>
          <w:szCs w:val="21"/>
        </w:rPr>
      </w:pPr>
      <w:r>
        <w:rPr>
          <w:rFonts w:hint="eastAsia" w:ascii="宋体" w:hAnsi="宋体"/>
          <w:szCs w:val="21"/>
        </w:rPr>
        <w:t xml:space="preserve">（签章）                 </w:t>
      </w:r>
      <w:r>
        <w:rPr>
          <w:rFonts w:ascii="宋体" w:hAnsi="宋体"/>
          <w:szCs w:val="21"/>
        </w:rPr>
        <w:t xml:space="preserve">        </w:t>
      </w:r>
      <w:r>
        <w:rPr>
          <w:rFonts w:hint="eastAsia" w:ascii="宋体" w:hAnsi="宋体"/>
          <w:szCs w:val="21"/>
        </w:rPr>
        <w:t xml:space="preserve">        （签章）</w:t>
      </w:r>
    </w:p>
    <w:p>
      <w:pPr>
        <w:spacing w:after="60"/>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p>
    <w:p>
      <w:pPr>
        <w:spacing w:after="60"/>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spacing w:after="60"/>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spacing w:after="60"/>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spacing w:after="60"/>
        <w:ind w:firstLine="420" w:firstLineChars="200"/>
        <w:rPr>
          <w:rFonts w:ascii="宋体" w:hAnsi="宋体"/>
          <w:szCs w:val="21"/>
        </w:rPr>
      </w:pPr>
      <w:r>
        <w:rPr>
          <w:rFonts w:hint="default" w:ascii="宋体" w:hAnsi="宋体"/>
          <w:szCs w:val="21"/>
          <w:lang w:val="en"/>
        </w:rPr>
        <w:t>人民币账号</w:t>
      </w:r>
      <w:r>
        <w:rPr>
          <w:rFonts w:hint="eastAsia" w:ascii="宋体" w:hAnsi="宋体"/>
          <w:szCs w:val="21"/>
        </w:rPr>
        <w:t>：</w:t>
      </w:r>
      <w:r>
        <w:rPr>
          <w:rFonts w:ascii="宋体" w:hAnsi="宋体"/>
          <w:szCs w:val="21"/>
        </w:rPr>
        <w:t xml:space="preserve">        </w:t>
      </w:r>
      <w:r>
        <w:rPr>
          <w:rFonts w:hint="eastAsia" w:ascii="宋体" w:hAnsi="宋体"/>
          <w:szCs w:val="21"/>
        </w:rPr>
        <w:t xml:space="preserve">                  </w:t>
      </w:r>
      <w:bookmarkStart w:id="101" w:name="_GoBack"/>
      <w:bookmarkEnd w:id="101"/>
      <w:r>
        <w:rPr>
          <w:rFonts w:hint="default" w:ascii="宋体" w:hAnsi="宋体"/>
          <w:szCs w:val="21"/>
          <w:lang w:val="en"/>
        </w:rPr>
        <w:t>人民币账号</w:t>
      </w:r>
      <w:r>
        <w:rPr>
          <w:rFonts w:hint="eastAsia" w:ascii="宋体" w:hAnsi="宋体"/>
          <w:szCs w:val="21"/>
        </w:rPr>
        <w:t>：</w:t>
      </w:r>
    </w:p>
    <w:p>
      <w:pPr>
        <w:spacing w:after="60"/>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spacing w:after="60"/>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spacing w:after="60"/>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spacing w:after="60"/>
        <w:ind w:firstLine="420" w:firstLineChars="200"/>
        <w:rPr>
          <w:rFonts w:ascii="宋体" w:hAnsi="宋体"/>
          <w:szCs w:val="21"/>
        </w:rPr>
      </w:pPr>
    </w:p>
    <w:p>
      <w:pPr>
        <w:spacing w:afterLines="0"/>
        <w:jc w:val="center"/>
        <w:rPr>
          <w:rFonts w:asciiTheme="minorEastAsia" w:hAnsiTheme="minorEastAsia" w:eastAsiaTheme="minorEastAsia"/>
          <w:szCs w:val="21"/>
        </w:rPr>
      </w:pPr>
      <w:r>
        <w:rPr>
          <w:rFonts w:hint="eastAsia" w:ascii="宋体" w:hAnsi="宋体"/>
          <w:szCs w:val="21"/>
        </w:rPr>
        <w:t>（注：以上格式仅供参考，具体合同条款以甲乙双方签订为准）。</w:t>
      </w:r>
    </w:p>
    <w:p>
      <w:pPr>
        <w:widowControl/>
        <w:spacing w:afterLines="0" w:line="240" w:lineRule="auto"/>
        <w:jc w:val="left"/>
        <w:rPr>
          <w:rFonts w:asciiTheme="minorEastAsia" w:hAnsiTheme="minorEastAsia" w:eastAsiaTheme="minorEastAsia"/>
          <w:szCs w:val="21"/>
        </w:rPr>
      </w:pPr>
      <w:r>
        <w:rPr>
          <w:rFonts w:asciiTheme="minorEastAsia" w:hAnsiTheme="minorEastAsia" w:eastAsiaTheme="minorEastAsia"/>
          <w:szCs w:val="21"/>
        </w:rPr>
        <w:br w:type="page"/>
      </w:r>
    </w:p>
    <w:p>
      <w:pPr>
        <w:pStyle w:val="2"/>
        <w:pageBreakBefore/>
        <w:spacing w:after="60" w:line="360" w:lineRule="auto"/>
        <w:jc w:val="center"/>
        <w:rPr>
          <w:rStyle w:val="54"/>
          <w:b/>
          <w:bCs w:val="0"/>
        </w:rPr>
      </w:pPr>
      <w:r>
        <w:rPr>
          <w:rStyle w:val="54"/>
          <w:rFonts w:hint="eastAsia"/>
          <w:b/>
          <w:bCs w:val="0"/>
        </w:rPr>
        <w:t>第二册  通用条款</w:t>
      </w: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第一章  总则</w:t>
      </w:r>
    </w:p>
    <w:p>
      <w:pPr>
        <w:spacing w:after="60" w:line="360" w:lineRule="auto"/>
        <w:rPr>
          <w:rFonts w:ascii="黑体" w:hAnsi="宋体" w:eastAsia="黑体"/>
          <w:sz w:val="24"/>
        </w:rPr>
      </w:pPr>
      <w:r>
        <w:rPr>
          <w:rFonts w:hint="eastAsia" w:ascii="黑体" w:hAnsi="宋体" w:eastAsia="黑体"/>
          <w:sz w:val="24"/>
        </w:rPr>
        <w:t>1. 通用条款说明</w:t>
      </w:r>
    </w:p>
    <w:p>
      <w:pPr>
        <w:spacing w:after="60" w:line="360" w:lineRule="auto"/>
        <w:ind w:firstLine="411" w:firstLineChars="196"/>
        <w:rPr>
          <w:rFonts w:ascii="宋体" w:hAnsi="宋体"/>
          <w:szCs w:val="21"/>
        </w:rPr>
      </w:pPr>
      <w:r>
        <w:rPr>
          <w:rFonts w:hint="eastAsia" w:ascii="宋体" w:hAnsi="宋体"/>
          <w:szCs w:val="21"/>
        </w:rPr>
        <w:t>1.1采购实施机构发出招标文件通用条款版本，列出深圳市政府采购项目进行招标采购所适用的通用条款内容。如有需要，采购实施机构可以对通用条款增加附录或补充内容。</w:t>
      </w:r>
    </w:p>
    <w:p>
      <w:pPr>
        <w:spacing w:after="60" w:line="360" w:lineRule="auto"/>
        <w:ind w:firstLine="411" w:firstLineChars="196"/>
        <w:rPr>
          <w:rFonts w:ascii="宋体" w:hAnsi="宋体"/>
          <w:szCs w:val="21"/>
        </w:rPr>
      </w:pPr>
      <w:r>
        <w:rPr>
          <w:rFonts w:hint="eastAsia" w:ascii="宋体" w:hAnsi="宋体"/>
          <w:szCs w:val="21"/>
        </w:rPr>
        <w:t>1.2招标文件分为第一册“专用条款”和第二册“通用条款”。</w:t>
      </w:r>
    </w:p>
    <w:p>
      <w:pPr>
        <w:spacing w:after="60" w:line="360" w:lineRule="auto"/>
        <w:ind w:firstLine="411" w:firstLineChars="196"/>
        <w:rPr>
          <w:rFonts w:ascii="宋体" w:hAnsi="宋体"/>
          <w:szCs w:val="21"/>
        </w:rPr>
      </w:pPr>
      <w:r>
        <w:rPr>
          <w:rFonts w:hint="eastAsia" w:ascii="宋体" w:hAnsi="宋体"/>
          <w:szCs w:val="21"/>
        </w:rPr>
        <w:t>1.3“专用条款”是对本次采购项目的具体要求，包含投标人资格要求、招标项目需求、投标文件格式、附件等内容。</w:t>
      </w:r>
    </w:p>
    <w:p>
      <w:pPr>
        <w:spacing w:after="60" w:line="360" w:lineRule="auto"/>
        <w:ind w:firstLine="411" w:firstLineChars="196"/>
        <w:rPr>
          <w:rFonts w:ascii="宋体" w:hAnsi="宋体"/>
          <w:szCs w:val="21"/>
        </w:rPr>
      </w:pPr>
      <w:r>
        <w:rPr>
          <w:rFonts w:hint="eastAsia" w:ascii="宋体" w:hAnsi="宋体"/>
          <w:szCs w:val="21"/>
        </w:rPr>
        <w:t>1.4“通用条款”是适用于政府采购项目的基础性条款，具有普遍性和通用性。</w:t>
      </w:r>
    </w:p>
    <w:p>
      <w:pPr>
        <w:spacing w:after="60" w:line="360" w:lineRule="auto"/>
        <w:ind w:firstLine="411" w:firstLineChars="196"/>
        <w:rPr>
          <w:rFonts w:ascii="宋体" w:hAnsi="宋体"/>
          <w:szCs w:val="21"/>
        </w:rPr>
      </w:pPr>
      <w:r>
        <w:rPr>
          <w:rFonts w:hint="eastAsia" w:ascii="宋体" w:hAnsi="宋体"/>
          <w:szCs w:val="21"/>
        </w:rPr>
        <w:t>1.5 “专用条款”和“通用条款”表述不一致或有冲突时，以“专用条款”为准。</w:t>
      </w:r>
    </w:p>
    <w:p>
      <w:pPr>
        <w:spacing w:after="60" w:line="36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spacing w:after="60" w:line="360" w:lineRule="auto"/>
        <w:ind w:firstLine="411" w:firstLineChars="196"/>
        <w:rPr>
          <w:rFonts w:ascii="宋体" w:hAnsi="宋体"/>
          <w:szCs w:val="21"/>
        </w:rPr>
      </w:pPr>
      <w:r>
        <w:rPr>
          <w:rFonts w:hint="eastAsia" w:ascii="宋体" w:hAnsi="宋体"/>
          <w:szCs w:val="21"/>
        </w:rPr>
        <w:t>本项目按照《深圳经济特区政府采购条例》、《深圳经济特区政府采购条例实施细则》等规定，并参考有关法规，通过招标方式确定中标供应商。</w:t>
      </w:r>
    </w:p>
    <w:p>
      <w:pPr>
        <w:spacing w:after="60" w:line="360" w:lineRule="auto"/>
        <w:rPr>
          <w:rFonts w:ascii="黑体" w:hAnsi="宋体" w:eastAsia="黑体"/>
          <w:sz w:val="24"/>
        </w:rPr>
      </w:pPr>
      <w:r>
        <w:rPr>
          <w:rFonts w:hint="eastAsia" w:ascii="黑体" w:hAnsi="宋体" w:eastAsia="黑体"/>
          <w:sz w:val="24"/>
        </w:rPr>
        <w:t>3．定义</w:t>
      </w:r>
    </w:p>
    <w:p>
      <w:pPr>
        <w:spacing w:after="60" w:line="360" w:lineRule="auto"/>
        <w:ind w:firstLine="420" w:firstLineChars="200"/>
        <w:rPr>
          <w:rFonts w:ascii="宋体" w:hAnsi="宋体"/>
          <w:szCs w:val="21"/>
        </w:rPr>
      </w:pPr>
      <w:r>
        <w:rPr>
          <w:rFonts w:ascii="宋体" w:hAnsi="宋体"/>
          <w:szCs w:val="21"/>
        </w:rPr>
        <w:t>招标文件中下列术语应解释为：</w:t>
      </w:r>
    </w:p>
    <w:p>
      <w:pPr>
        <w:spacing w:after="60" w:line="360" w:lineRule="auto"/>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w:t>
      </w:r>
      <w:r>
        <w:rPr>
          <w:rFonts w:hint="eastAsia" w:ascii="宋体" w:hAnsi="宋体"/>
        </w:rPr>
        <w:t>采购实施机构</w:t>
      </w:r>
      <w:r>
        <w:rPr>
          <w:rFonts w:hint="eastAsia" w:ascii="宋体" w:hAnsi="宋体"/>
          <w:szCs w:val="21"/>
        </w:rPr>
        <w:t>”或“采购代理机构”或“招标代理机构”</w:t>
      </w:r>
      <w:r>
        <w:rPr>
          <w:rFonts w:hint="eastAsia" w:ascii="宋体" w:hAnsi="宋体"/>
        </w:rPr>
        <w:t>是指依法取得招标资格、从事招标代理业务并提供相关服务的专门机构</w:t>
      </w:r>
      <w:r>
        <w:rPr>
          <w:rFonts w:hint="eastAsia" w:ascii="宋体" w:hAnsi="宋体"/>
          <w:szCs w:val="21"/>
        </w:rPr>
        <w:t>；本文中特指：深圳高星项目管理有限公司。</w:t>
      </w:r>
    </w:p>
    <w:p>
      <w:pPr>
        <w:spacing w:after="60" w:line="360" w:lineRule="auto"/>
        <w:ind w:firstLine="411" w:firstLineChars="196"/>
        <w:rPr>
          <w:rFonts w:ascii="宋体" w:hAnsi="宋体"/>
          <w:szCs w:val="21"/>
        </w:rPr>
      </w:pPr>
      <w:r>
        <w:rPr>
          <w:rFonts w:hint="eastAsia" w:ascii="宋体" w:hAnsi="宋体"/>
          <w:szCs w:val="21"/>
        </w:rPr>
        <w:t>3.2“采购人”或“招标人”：指利用财政性资金依法进行政府采购的国家机关、事业单位、团体组织。</w:t>
      </w:r>
    </w:p>
    <w:p>
      <w:pPr>
        <w:spacing w:after="60" w:line="360" w:lineRule="auto"/>
        <w:ind w:firstLine="411" w:firstLineChars="196"/>
        <w:rPr>
          <w:rFonts w:ascii="宋体" w:hAnsi="宋体"/>
          <w:szCs w:val="21"/>
        </w:rPr>
      </w:pPr>
      <w:r>
        <w:rPr>
          <w:rFonts w:hint="eastAsia" w:ascii="宋体" w:hAnsi="宋体"/>
          <w:szCs w:val="21"/>
        </w:rPr>
        <w:t>3.3“投标人”或“投标方”，即供应商，指参加投标竞争并愿意按照招标文件要求向采购人提供货物、工程或者服务的依法成立的法人、其他组织或者自然人；</w:t>
      </w:r>
    </w:p>
    <w:p>
      <w:pPr>
        <w:spacing w:after="60" w:line="360" w:lineRule="auto"/>
        <w:ind w:firstLine="411" w:firstLineChars="196"/>
        <w:rPr>
          <w:rFonts w:ascii="宋体" w:hAnsi="宋体"/>
          <w:szCs w:val="21"/>
        </w:rPr>
      </w:pPr>
      <w:r>
        <w:rPr>
          <w:rFonts w:hint="eastAsia" w:ascii="宋体" w:hAnsi="宋体"/>
          <w:szCs w:val="21"/>
        </w:rPr>
        <w:t>3.4“评审委员会”和“谈判小组”是依据《深圳经济特区政府采购条例》、《深圳经济特区政府采购条例实施细则》等有关规定组建的专门负责本次招标其评标（谈判）工作的临时性机构；</w:t>
      </w:r>
    </w:p>
    <w:p>
      <w:pPr>
        <w:spacing w:after="60" w:line="360" w:lineRule="auto"/>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spacing w:after="60" w:line="360" w:lineRule="auto"/>
        <w:ind w:firstLine="411" w:firstLineChars="196"/>
        <w:rPr>
          <w:rFonts w:ascii="宋体" w:hAnsi="宋体"/>
          <w:szCs w:val="21"/>
        </w:rPr>
      </w:pPr>
      <w:r>
        <w:rPr>
          <w:rFonts w:hint="eastAsia" w:ascii="宋体" w:hAnsi="宋体"/>
          <w:szCs w:val="21"/>
        </w:rPr>
        <w:t>3.6“合同”指由本次招标所产生的合同或合约文件；</w:t>
      </w:r>
    </w:p>
    <w:p>
      <w:pPr>
        <w:spacing w:after="60" w:line="360" w:lineRule="auto"/>
        <w:ind w:firstLine="411" w:firstLineChars="196"/>
        <w:rPr>
          <w:rFonts w:ascii="宋体" w:hAnsi="宋体"/>
          <w:szCs w:val="21"/>
        </w:rPr>
      </w:pPr>
      <w:r>
        <w:rPr>
          <w:rFonts w:hint="eastAsia" w:ascii="宋体" w:hAnsi="宋体"/>
          <w:szCs w:val="21"/>
        </w:rPr>
        <w:t>3.7“电子投标文件”指利用深圳市政府采购网提供的投标书加密软件加密的投标文件,适用于网上投标；（此投标书加密软件</w:t>
      </w:r>
      <w:r>
        <w:rPr>
          <w:rFonts w:hint="eastAsia" w:asciiTheme="minorEastAsia" w:hAnsiTheme="minorEastAsia" w:eastAsiaTheme="minorEastAsia"/>
          <w:szCs w:val="21"/>
        </w:rPr>
        <w:t>可从</w:t>
      </w:r>
      <w:r>
        <w:rPr>
          <w:rFonts w:asciiTheme="minorEastAsia" w:hAnsiTheme="minorEastAsia" w:eastAsiaTheme="minorEastAsia"/>
        </w:rPr>
        <w:t>http://www.szzfcg.cn/</w:t>
      </w:r>
      <w:r>
        <w:rPr>
          <w:rFonts w:hint="eastAsia" w:asciiTheme="minorEastAsia" w:hAnsiTheme="minorEastAsia" w:eastAsiaTheme="minorEastAsia"/>
          <w:szCs w:val="21"/>
        </w:rPr>
        <w:t>网站“相</w:t>
      </w:r>
      <w:r>
        <w:rPr>
          <w:rFonts w:hint="eastAsia" w:ascii="宋体" w:hAnsi="宋体"/>
          <w:szCs w:val="21"/>
        </w:rPr>
        <w:t>关软件”栏目中下载）；</w:t>
      </w:r>
    </w:p>
    <w:p>
      <w:pPr>
        <w:spacing w:after="60" w:line="360" w:lineRule="auto"/>
        <w:ind w:firstLine="411" w:firstLineChars="196"/>
        <w:rPr>
          <w:rFonts w:ascii="宋体" w:hAnsi="宋体"/>
          <w:szCs w:val="21"/>
        </w:rPr>
      </w:pPr>
      <w:r>
        <w:rPr>
          <w:rFonts w:hint="eastAsia" w:ascii="宋体" w:hAnsi="宋体"/>
          <w:szCs w:val="21"/>
        </w:rPr>
        <w:t>3.8“网上投标”指通过深圳市政府采购网上传电子投标文件；</w:t>
      </w:r>
    </w:p>
    <w:p>
      <w:pPr>
        <w:spacing w:after="60" w:line="360" w:lineRule="auto"/>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spacing w:after="60" w:line="360" w:lineRule="auto"/>
        <w:rPr>
          <w:rFonts w:ascii="黑体" w:hAnsi="宋体" w:eastAsia="黑体"/>
          <w:sz w:val="24"/>
        </w:rPr>
      </w:pPr>
      <w:r>
        <w:rPr>
          <w:rFonts w:hint="eastAsia" w:ascii="黑体" w:hAnsi="宋体" w:eastAsia="黑体"/>
          <w:sz w:val="24"/>
        </w:rPr>
        <w:t>4. 政府采购供应商责任</w:t>
      </w:r>
    </w:p>
    <w:p>
      <w:pPr>
        <w:spacing w:after="60" w:line="360" w:lineRule="auto"/>
        <w:ind w:firstLine="411" w:firstLineChars="196"/>
        <w:rPr>
          <w:rFonts w:ascii="宋体" w:hAnsi="宋体"/>
          <w:szCs w:val="21"/>
        </w:rPr>
      </w:pPr>
      <w:r>
        <w:rPr>
          <w:rFonts w:hint="eastAsia" w:ascii="宋体" w:hAnsi="宋体"/>
          <w:szCs w:val="21"/>
        </w:rPr>
        <w:t>4.1欢迎诚信、有实力和有社会责任心的供应商参与政府采购事业。</w:t>
      </w:r>
    </w:p>
    <w:p>
      <w:pPr>
        <w:spacing w:after="60" w:line="360" w:lineRule="auto"/>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spacing w:after="60" w:line="360" w:lineRule="auto"/>
        <w:rPr>
          <w:rFonts w:ascii="黑体" w:hAnsi="宋体" w:eastAsia="黑体"/>
          <w:sz w:val="24"/>
        </w:rPr>
      </w:pPr>
      <w:r>
        <w:rPr>
          <w:rFonts w:hint="eastAsia" w:ascii="黑体" w:hAnsi="宋体" w:eastAsia="黑体"/>
          <w:sz w:val="24"/>
        </w:rPr>
        <w:t>5．投标人参加政府采购的条件</w:t>
      </w:r>
    </w:p>
    <w:p>
      <w:pPr>
        <w:spacing w:after="60" w:line="360" w:lineRule="auto"/>
        <w:ind w:firstLine="411" w:firstLineChars="196"/>
        <w:rPr>
          <w:rFonts w:ascii="宋体" w:hAnsi="宋体"/>
          <w:szCs w:val="21"/>
        </w:rPr>
      </w:pPr>
      <w:r>
        <w:rPr>
          <w:rFonts w:hint="eastAsia" w:ascii="宋体" w:hAnsi="宋体"/>
          <w:szCs w:val="21"/>
        </w:rPr>
        <w:t>5.1投标</w:t>
      </w:r>
      <w:r>
        <w:rPr>
          <w:rFonts w:hint="eastAsia" w:asciiTheme="minorEastAsia" w:hAnsiTheme="minorEastAsia" w:eastAsiaTheme="minorEastAsia"/>
          <w:szCs w:val="21"/>
        </w:rPr>
        <w:t>人应在投标前到政府集中采购机构进行注册。《</w:t>
      </w:r>
      <w:r>
        <w:fldChar w:fldCharType="begin"/>
      </w:r>
      <w:r>
        <w:instrText xml:space="preserve"> HYPERLINK "http://www.szzfcg.cn/viewer.do?id=2455258" \t "documentViewer2455258" </w:instrText>
      </w:r>
      <w:r>
        <w:fldChar w:fldCharType="separate"/>
      </w:r>
      <w:r>
        <w:rPr>
          <w:rFonts w:asciiTheme="minorEastAsia" w:hAnsiTheme="minorEastAsia" w:eastAsiaTheme="minorEastAsia"/>
          <w:szCs w:val="21"/>
        </w:rPr>
        <w:t>供应商注册及电子密钥新申请指引</w:t>
      </w:r>
      <w:r>
        <w:rPr>
          <w:rFonts w:asciiTheme="minorEastAsia" w:hAnsiTheme="minorEastAsia" w:eastAsiaTheme="minorEastAsia"/>
          <w:szCs w:val="21"/>
        </w:rPr>
        <w:fldChar w:fldCharType="end"/>
      </w:r>
      <w:r>
        <w:rPr>
          <w:rFonts w:hint="eastAsia" w:asciiTheme="minorEastAsia" w:hAnsiTheme="minorEastAsia" w:eastAsiaTheme="minorEastAsia"/>
          <w:szCs w:val="21"/>
        </w:rPr>
        <w:t>》详见</w:t>
      </w:r>
      <w:r>
        <w:rPr>
          <w:rFonts w:asciiTheme="minorEastAsia" w:hAnsiTheme="minorEastAsia" w:eastAsiaTheme="minorEastAsia"/>
        </w:rPr>
        <w:t>http://www.szzfcg.cn/</w:t>
      </w:r>
      <w:r>
        <w:rPr>
          <w:rFonts w:hint="eastAsia" w:ascii="宋体" w:hAnsi="宋体"/>
          <w:szCs w:val="21"/>
        </w:rPr>
        <w:t>。</w:t>
      </w:r>
    </w:p>
    <w:p>
      <w:pPr>
        <w:spacing w:after="60" w:line="360" w:lineRule="auto"/>
        <w:ind w:firstLine="411" w:firstLineChars="196"/>
        <w:rPr>
          <w:rFonts w:ascii="宋体" w:hAnsi="宋体"/>
          <w:szCs w:val="21"/>
        </w:rPr>
      </w:pPr>
      <w:r>
        <w:rPr>
          <w:rFonts w:hint="eastAsia" w:ascii="宋体" w:hAnsi="宋体"/>
          <w:szCs w:val="21"/>
        </w:rPr>
        <w:t>5.2投标人的资格要求</w:t>
      </w:r>
    </w:p>
    <w:p>
      <w:pPr>
        <w:spacing w:after="60" w:line="360" w:lineRule="auto"/>
        <w:ind w:firstLine="411" w:firstLineChars="196"/>
        <w:rPr>
          <w:rFonts w:ascii="宋体" w:hAnsi="宋体"/>
          <w:szCs w:val="21"/>
        </w:rPr>
      </w:pPr>
      <w:r>
        <w:rPr>
          <w:rFonts w:hint="eastAsia" w:ascii="宋体" w:hAnsi="宋体"/>
          <w:szCs w:val="21"/>
        </w:rPr>
        <w:t>参加本项目的投标人应具备的资格条件详见本项目招标公告中 “申请人的资格要求”的内容。</w:t>
      </w:r>
    </w:p>
    <w:p>
      <w:pPr>
        <w:spacing w:after="60" w:line="360" w:lineRule="auto"/>
        <w:ind w:firstLine="411" w:firstLineChars="196"/>
        <w:rPr>
          <w:rFonts w:ascii="宋体" w:hAnsi="宋体"/>
          <w:szCs w:val="21"/>
        </w:rPr>
      </w:pPr>
      <w:r>
        <w:rPr>
          <w:rFonts w:hint="eastAsia" w:ascii="宋体" w:hAnsi="宋体"/>
          <w:szCs w:val="21"/>
        </w:rPr>
        <w:t>5.3联合体投标</w:t>
      </w:r>
    </w:p>
    <w:p>
      <w:pPr>
        <w:spacing w:after="60" w:line="360" w:lineRule="auto"/>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spacing w:after="60" w:line="360" w:lineRule="auto"/>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spacing w:after="60" w:line="360" w:lineRule="auto"/>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spacing w:after="60" w:line="360" w:lineRule="auto"/>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spacing w:after="60" w:line="360" w:lineRule="auto"/>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spacing w:after="60" w:line="360" w:lineRule="auto"/>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spacing w:after="60" w:line="360" w:lineRule="auto"/>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spacing w:after="60" w:line="360" w:lineRule="auto"/>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spacing w:after="60" w:line="360" w:lineRule="auto"/>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spacing w:after="60" w:line="360" w:lineRule="auto"/>
        <w:ind w:firstLine="411" w:firstLineChars="196"/>
        <w:rPr>
          <w:rFonts w:ascii="宋体" w:hAnsi="宋体"/>
        </w:rPr>
      </w:pPr>
      <w:r>
        <w:rPr>
          <w:rFonts w:hint="eastAsia" w:ascii="宋体" w:hAnsi="宋体"/>
        </w:rPr>
        <w:t>（2）投标联合体各方必须有一方先行注册成深圳公共资源交易中心供应商；</w:t>
      </w:r>
    </w:p>
    <w:p>
      <w:pPr>
        <w:spacing w:after="60" w:line="360" w:lineRule="auto"/>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spacing w:after="60" w:line="360" w:lineRule="auto"/>
        <w:ind w:firstLine="411" w:firstLineChars="196"/>
      </w:pPr>
      <w:r>
        <w:rPr>
          <w:rFonts w:hint="eastAsia"/>
        </w:rPr>
        <w:t>（4）是否允许联合体参加投标，应当由采购人和采购代理机构根据项目的实际情况和潜在供应商的数量自主决定，如果决定接受联合体投标则应当在采购公告中明示。</w:t>
      </w:r>
    </w:p>
    <w:p>
      <w:pPr>
        <w:spacing w:after="60" w:line="360" w:lineRule="auto"/>
        <w:ind w:firstLine="411" w:firstLineChars="196"/>
        <w:rPr>
          <w:rFonts w:ascii="宋体" w:hAnsi="宋体"/>
        </w:rPr>
      </w:pPr>
      <w:r>
        <w:rPr>
          <w:rFonts w:hint="eastAsia" w:ascii="宋体" w:hAnsi="宋体"/>
        </w:rPr>
        <w:t>（5）投标人的投标文件及中标后签署的合同协议对联合体各方均具法律约束力；</w:t>
      </w:r>
    </w:p>
    <w:p>
      <w:pPr>
        <w:spacing w:after="60" w:line="360" w:lineRule="auto"/>
        <w:ind w:firstLine="411" w:firstLineChars="196"/>
        <w:rPr>
          <w:rFonts w:ascii="宋体" w:hAnsi="宋体"/>
        </w:rPr>
      </w:pPr>
      <w:r>
        <w:rPr>
          <w:rFonts w:hint="eastAsia" w:ascii="宋体" w:hAnsi="宋体"/>
        </w:rPr>
        <w:t>（6）联合体各方应当签订共同投标协议，明确约定各方拟承担的工作和责任，并将该共同投标协议随投标文件一并递交给采购实施机构；</w:t>
      </w:r>
    </w:p>
    <w:p>
      <w:pPr>
        <w:spacing w:after="60" w:line="360" w:lineRule="auto"/>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spacing w:after="60" w:line="360" w:lineRule="auto"/>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spacing w:after="60" w:line="360" w:lineRule="auto"/>
        <w:ind w:firstLine="411" w:firstLineChars="196"/>
        <w:rPr>
          <w:rFonts w:ascii="宋体" w:hAnsi="宋体"/>
          <w:szCs w:val="21"/>
        </w:rPr>
      </w:pPr>
      <w:r>
        <w:rPr>
          <w:rFonts w:hint="eastAsia" w:ascii="宋体" w:hAnsi="宋体"/>
        </w:rPr>
        <w:t>（9）本通用条款中“投标人”一词亦指联合体各方，专用条款另有规定或说明的除外。</w:t>
      </w:r>
    </w:p>
    <w:p>
      <w:pPr>
        <w:spacing w:after="60" w:line="360" w:lineRule="auto"/>
        <w:rPr>
          <w:rFonts w:ascii="黑体" w:hAnsi="宋体" w:eastAsia="黑体"/>
          <w:sz w:val="24"/>
        </w:rPr>
      </w:pPr>
      <w:r>
        <w:rPr>
          <w:rFonts w:hint="eastAsia" w:ascii="黑体" w:hAnsi="宋体" w:eastAsia="黑体"/>
          <w:sz w:val="24"/>
        </w:rPr>
        <w:t>6．政策导向</w:t>
      </w:r>
    </w:p>
    <w:p>
      <w:pPr>
        <w:spacing w:after="60" w:line="360" w:lineRule="auto"/>
        <w:ind w:firstLine="315" w:firstLineChars="150"/>
        <w:rPr>
          <w:rFonts w:asciiTheme="minorEastAsia" w:hAnsiTheme="minorEastAsia" w:eastAsiaTheme="minorEastAsia"/>
          <w:bCs/>
          <w:szCs w:val="21"/>
        </w:rPr>
      </w:pPr>
      <w:r>
        <w:rPr>
          <w:rFonts w:hint="eastAsia" w:asciiTheme="minorEastAsia" w:hAnsiTheme="minorEastAsia" w:eastAsiaTheme="minorEastAsia"/>
          <w:bCs/>
          <w:szCs w:val="21"/>
        </w:rPr>
        <w:t>6.1 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spacing w:after="60" w:line="360" w:lineRule="auto"/>
        <w:ind w:firstLine="405"/>
        <w:rPr>
          <w:shd w:val="clear" w:color="auto" w:fill="FFFFFF"/>
        </w:rPr>
      </w:pPr>
      <w:r>
        <w:rPr>
          <w:rFonts w:hint="eastAsia" w:asciiTheme="minorEastAsia" w:hAnsiTheme="minorEastAsia" w:eastAsiaTheme="minorEastAsia"/>
          <w:shd w:val="clear" w:color="auto" w:fill="FFFFFF"/>
        </w:rPr>
        <w:t xml:space="preserve">6.2 </w:t>
      </w:r>
      <w:r>
        <w:rPr>
          <w:rFonts w:hint="eastAsia" w:asciiTheme="minorEastAsia" w:hAnsiTheme="minorEastAsia" w:eastAsiaTheme="minorEastAsia"/>
        </w:rPr>
        <w:t>根据《深圳市人民政府关于印发深圳市贯彻落实守信联合激励和失信联合惩戒制度实施方案的通知》（深府〔2017〕57号）、《深圳市政府采购供应商诚信管理暂行办法》（深财规〔2017〕8号）以及《深圳市财政委员会关于印发&lt;深圳</w:t>
      </w:r>
      <w:r>
        <w:rPr>
          <w:rFonts w:hint="eastAsia" w:ascii="宋体" w:hAnsi="宋体"/>
        </w:rPr>
        <w:t>市政府采购供应商诚信管理暂行办法操作细则&gt;的通知》的要求，对列入失信“黑名单”的供应商限制参与政府采购。</w:t>
      </w:r>
    </w:p>
    <w:p>
      <w:pPr>
        <w:spacing w:after="60" w:line="360" w:lineRule="auto"/>
        <w:rPr>
          <w:rFonts w:ascii="黑体" w:hAnsi="宋体" w:eastAsia="黑体"/>
          <w:sz w:val="24"/>
        </w:rPr>
      </w:pPr>
      <w:r>
        <w:rPr>
          <w:rFonts w:hint="eastAsia" w:ascii="黑体" w:hAnsi="宋体" w:eastAsia="黑体"/>
          <w:sz w:val="24"/>
        </w:rPr>
        <w:t>7. 本项目若涉及采购货物，则合格的货物及相应服务应满足以下要求：</w:t>
      </w:r>
    </w:p>
    <w:p>
      <w:pPr>
        <w:spacing w:after="60" w:line="360" w:lineRule="auto"/>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spacing w:after="60" w:line="360" w:lineRule="auto"/>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spacing w:after="60" w:line="360" w:lineRule="auto"/>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spacing w:after="60" w:line="360" w:lineRule="auto"/>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spacing w:after="60" w:line="360" w:lineRule="auto"/>
        <w:ind w:firstLine="411" w:firstLineChars="196"/>
        <w:rPr>
          <w:rFonts w:ascii="宋体" w:hAnsi="宋体"/>
        </w:rPr>
      </w:pPr>
      <w:r>
        <w:rPr>
          <w:rFonts w:hint="eastAsia" w:ascii="宋体" w:hAnsi="宋体"/>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pPr>
        <w:spacing w:after="60" w:line="360" w:lineRule="auto"/>
        <w:ind w:firstLine="411" w:firstLineChars="196"/>
        <w:rPr>
          <w:rFonts w:ascii="宋体" w:hAnsi="宋体"/>
        </w:rPr>
      </w:pPr>
      <w:r>
        <w:rPr>
          <w:rFonts w:hint="eastAsia" w:ascii="宋体" w:hAnsi="宋体"/>
        </w:rPr>
        <w:t>7.6  对工期的要求：投标人在投标时对其所投项目应提交交货进度、交货计划等，在合同规定的时间内完工验收。</w:t>
      </w:r>
    </w:p>
    <w:p>
      <w:pPr>
        <w:spacing w:after="60" w:line="360" w:lineRule="auto"/>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spacing w:after="60" w:line="360" w:lineRule="auto"/>
        <w:rPr>
          <w:rFonts w:ascii="黑体" w:hAnsi="宋体" w:eastAsia="黑体"/>
          <w:sz w:val="24"/>
        </w:rPr>
      </w:pPr>
      <w:r>
        <w:rPr>
          <w:rFonts w:hint="eastAsia" w:ascii="黑体" w:hAnsi="宋体" w:eastAsia="黑体"/>
          <w:sz w:val="24"/>
        </w:rPr>
        <w:t>8．投标费用</w:t>
      </w:r>
    </w:p>
    <w:p>
      <w:pPr>
        <w:spacing w:after="60" w:line="360" w:lineRule="auto"/>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spacing w:after="60" w:line="360" w:lineRule="auto"/>
        <w:rPr>
          <w:rFonts w:ascii="黑体" w:hAnsi="宋体" w:eastAsia="黑体"/>
          <w:sz w:val="24"/>
        </w:rPr>
      </w:pPr>
      <w:r>
        <w:rPr>
          <w:rFonts w:hint="eastAsia" w:ascii="黑体" w:hAnsi="宋体" w:eastAsia="黑体"/>
          <w:sz w:val="24"/>
        </w:rPr>
        <w:t>9．踏勘现场</w:t>
      </w:r>
    </w:p>
    <w:p>
      <w:pPr>
        <w:spacing w:after="60" w:line="360" w:lineRule="auto"/>
        <w:ind w:firstLine="411" w:firstLineChars="196"/>
        <w:rPr>
          <w:rFonts w:ascii="宋体" w:hAnsi="宋体"/>
          <w:szCs w:val="21"/>
        </w:rPr>
      </w:pPr>
      <w:r>
        <w:rPr>
          <w:rFonts w:hint="eastAsia" w:ascii="宋体" w:hAnsi="宋体"/>
          <w:szCs w:val="21"/>
        </w:rPr>
        <w:t>9.1如有需要（详见专用条款），采购实施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pPr>
        <w:spacing w:after="60" w:line="360" w:lineRule="auto"/>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spacing w:after="60" w:line="360" w:lineRule="auto"/>
        <w:ind w:firstLine="411" w:firstLineChars="196"/>
        <w:rPr>
          <w:rFonts w:ascii="宋体" w:hAnsi="宋体"/>
        </w:rPr>
      </w:pPr>
      <w:r>
        <w:rPr>
          <w:rFonts w:hint="eastAsia" w:ascii="宋体" w:hAnsi="宋体"/>
        </w:rPr>
        <w:t>9.3采购人必须通过采购实施机构向投标人提供有关现场的资料和数据。</w:t>
      </w:r>
    </w:p>
    <w:p>
      <w:pPr>
        <w:spacing w:after="60" w:line="360" w:lineRule="auto"/>
        <w:ind w:firstLine="411" w:firstLineChars="196"/>
        <w:rPr>
          <w:rFonts w:ascii="宋体" w:hAnsi="宋体"/>
        </w:rPr>
      </w:pPr>
      <w:r>
        <w:rPr>
          <w:rFonts w:hint="eastAsia" w:ascii="宋体" w:hAnsi="宋体"/>
        </w:rPr>
        <w:t>9.4任何人或任何组织在踏勘现场时向投标人提交的任何书面资料或口头承诺，未经</w:t>
      </w:r>
      <w:r>
        <w:rPr>
          <w:rFonts w:hint="eastAsia" w:ascii="宋体" w:hAnsi="宋体"/>
          <w:szCs w:val="21"/>
        </w:rPr>
        <w:t>采购实施机构</w:t>
      </w:r>
      <w:r>
        <w:rPr>
          <w:rFonts w:hint="eastAsia" w:ascii="宋体" w:hAnsi="宋体"/>
        </w:rPr>
        <w:t>在网上发布或书面通知，均作无效处理。</w:t>
      </w:r>
    </w:p>
    <w:p>
      <w:pPr>
        <w:spacing w:after="60" w:line="360" w:lineRule="auto"/>
        <w:rPr>
          <w:rFonts w:ascii="黑体" w:hAnsi="宋体" w:eastAsia="黑体"/>
          <w:sz w:val="24"/>
        </w:rPr>
      </w:pPr>
      <w:r>
        <w:rPr>
          <w:rFonts w:hint="eastAsia" w:ascii="黑体" w:hAnsi="宋体" w:eastAsia="黑体"/>
          <w:sz w:val="24"/>
        </w:rPr>
        <w:t>10．招标答疑</w:t>
      </w:r>
    </w:p>
    <w:p>
      <w:pPr>
        <w:spacing w:after="60" w:line="360" w:lineRule="auto"/>
        <w:ind w:firstLine="411" w:firstLineChars="196"/>
        <w:rPr>
          <w:rFonts w:ascii="宋体" w:hAnsi="宋体"/>
          <w:szCs w:val="21"/>
        </w:rPr>
      </w:pPr>
      <w:r>
        <w:rPr>
          <w:rFonts w:hint="eastAsia" w:ascii="宋体" w:hAnsi="宋体"/>
          <w:szCs w:val="21"/>
        </w:rPr>
        <w:t>10.1招标答疑的目的是澄清、解答投标人在查阅招标文件后或现场踏勘中可能提出的与投标有关的疑问或询问。</w:t>
      </w:r>
    </w:p>
    <w:p>
      <w:pPr>
        <w:spacing w:after="60" w:line="360" w:lineRule="auto"/>
        <w:ind w:firstLine="411" w:firstLineChars="196"/>
        <w:rPr>
          <w:rFonts w:ascii="宋体" w:hAnsi="宋体"/>
          <w:szCs w:val="21"/>
        </w:rPr>
      </w:pPr>
      <w:r>
        <w:rPr>
          <w:rFonts w:hint="eastAsia" w:ascii="宋体" w:hAnsi="宋体"/>
          <w:szCs w:val="21"/>
        </w:rPr>
        <w:t>10.2投标人如对招标文件内容有疑问，必须在招标文件规定的答疑截止时间前以网上提问形式提交采购实施机构。</w:t>
      </w:r>
    </w:p>
    <w:p>
      <w:pPr>
        <w:spacing w:after="60" w:line="360" w:lineRule="auto"/>
        <w:ind w:firstLine="411" w:firstLineChars="196"/>
        <w:rPr>
          <w:rFonts w:ascii="宋体" w:hAnsi="宋体"/>
          <w:szCs w:val="21"/>
        </w:rPr>
      </w:pPr>
      <w:r>
        <w:rPr>
          <w:rFonts w:hint="eastAsia" w:ascii="宋体" w:hAnsi="宋体"/>
          <w:szCs w:val="21"/>
        </w:rPr>
        <w:t>10.3采购实施机构对疑问所做出的澄清和解答，以书面答复（包括网站发布信息）为准。答疑纪要的有效性规定按照本通用条款第13</w:t>
      </w:r>
      <w:r>
        <w:rPr>
          <w:rFonts w:ascii="宋体" w:hAnsi="宋体"/>
          <w:szCs w:val="21"/>
        </w:rPr>
        <w:t>.3</w:t>
      </w:r>
      <w:r>
        <w:rPr>
          <w:rFonts w:hint="eastAsia" w:ascii="宋体" w:hAnsi="宋体"/>
          <w:szCs w:val="21"/>
        </w:rPr>
        <w:t>、13</w:t>
      </w:r>
      <w:r>
        <w:rPr>
          <w:rFonts w:ascii="宋体" w:hAnsi="宋体"/>
          <w:szCs w:val="21"/>
        </w:rPr>
        <w:t>.4</w:t>
      </w:r>
      <w:r>
        <w:rPr>
          <w:rFonts w:hint="eastAsia" w:ascii="宋体" w:hAnsi="宋体"/>
          <w:szCs w:val="21"/>
        </w:rPr>
        <w:t>款规定执行。</w:t>
      </w:r>
    </w:p>
    <w:p>
      <w:pPr>
        <w:spacing w:after="60" w:line="360" w:lineRule="auto"/>
        <w:ind w:firstLine="411" w:firstLineChars="196"/>
        <w:rPr>
          <w:rFonts w:ascii="宋体" w:hAnsi="宋体"/>
          <w:szCs w:val="21"/>
        </w:rPr>
      </w:pPr>
      <w:r>
        <w:rPr>
          <w:rFonts w:hint="eastAsia" w:ascii="宋体" w:hAnsi="宋体"/>
          <w:szCs w:val="21"/>
        </w:rPr>
        <w:t>10.4如采购实施机构认为有必要组织现场答疑会，投标人应按照招标文件规定的时间或采购实施机构另行书面通知（包括网站发布的通知）的时间和地点，参与现场答疑会。</w:t>
      </w:r>
    </w:p>
    <w:p>
      <w:pPr>
        <w:spacing w:after="60" w:line="360" w:lineRule="auto"/>
        <w:ind w:firstLine="411" w:firstLineChars="196"/>
        <w:rPr>
          <w:rFonts w:ascii="宋体" w:hAnsi="宋体"/>
          <w:szCs w:val="21"/>
        </w:rPr>
      </w:pPr>
      <w:r>
        <w:rPr>
          <w:rFonts w:hint="eastAsia" w:ascii="宋体" w:hAnsi="宋体"/>
          <w:szCs w:val="21"/>
        </w:rPr>
        <w:t>10.5未参与招标答疑不作为否定投标人资格的理由。</w:t>
      </w:r>
    </w:p>
    <w:p>
      <w:pPr>
        <w:spacing w:after="60" w:line="360" w:lineRule="auto"/>
        <w:ind w:firstLine="411" w:firstLineChars="196"/>
        <w:rPr>
          <w:rFonts w:ascii="宋体" w:hAnsi="宋体"/>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第二章  招标文件</w:t>
      </w:r>
    </w:p>
    <w:p>
      <w:pPr>
        <w:spacing w:after="60" w:line="360" w:lineRule="auto"/>
        <w:rPr>
          <w:rFonts w:ascii="黑体" w:hAnsi="宋体" w:eastAsia="黑体"/>
          <w:sz w:val="24"/>
        </w:rPr>
      </w:pPr>
      <w:r>
        <w:rPr>
          <w:rFonts w:hint="eastAsia" w:ascii="黑体" w:hAnsi="宋体" w:eastAsia="黑体"/>
          <w:sz w:val="24"/>
        </w:rPr>
        <w:t>11．招标文件的编制与组成</w:t>
      </w:r>
    </w:p>
    <w:p>
      <w:pPr>
        <w:snapToGrid w:val="0"/>
        <w:spacing w:after="60" w:line="360" w:lineRule="auto"/>
        <w:ind w:firstLine="420" w:firstLineChars="200"/>
        <w:rPr>
          <w:rFonts w:ascii="宋体" w:hAnsi="宋体"/>
          <w:szCs w:val="21"/>
        </w:rPr>
      </w:pPr>
      <w:r>
        <w:rPr>
          <w:rFonts w:hint="eastAsia" w:ascii="宋体" w:hAnsi="宋体"/>
          <w:szCs w:val="21"/>
        </w:rPr>
        <w:t>11.1招标文件除以下内容外，采购实施机构在招标（或谈判）期间发出的答疑、澄清或修改等相关公告或通知内容，均是招标文件的组成部分，对投标人起约束作用；</w:t>
      </w:r>
    </w:p>
    <w:p>
      <w:pPr>
        <w:spacing w:after="60" w:line="360" w:lineRule="auto"/>
        <w:ind w:firstLine="411" w:firstLineChars="196"/>
        <w:rPr>
          <w:rFonts w:ascii="宋体" w:hAnsi="宋体"/>
          <w:szCs w:val="21"/>
        </w:rPr>
      </w:pPr>
      <w:r>
        <w:rPr>
          <w:rFonts w:hint="eastAsia" w:ascii="宋体" w:hAnsi="宋体"/>
          <w:szCs w:val="21"/>
        </w:rPr>
        <w:t>招标文件包括下列内容：</w:t>
      </w:r>
    </w:p>
    <w:p>
      <w:pPr>
        <w:spacing w:after="60" w:line="360" w:lineRule="auto"/>
        <w:ind w:left="420" w:leftChars="200" w:firstLine="413" w:firstLineChars="196"/>
        <w:rPr>
          <w:rFonts w:ascii="宋体" w:hAnsi="宋体"/>
          <w:b/>
          <w:szCs w:val="21"/>
        </w:rPr>
      </w:pPr>
      <w:r>
        <w:rPr>
          <w:rFonts w:hint="eastAsia" w:ascii="宋体" w:hAnsi="宋体"/>
          <w:b/>
          <w:szCs w:val="21"/>
        </w:rPr>
        <w:t>第一册  专用条款</w:t>
      </w:r>
    </w:p>
    <w:p>
      <w:pPr>
        <w:spacing w:afterLines="0" w:line="360" w:lineRule="auto"/>
        <w:ind w:left="420" w:leftChars="200" w:firstLine="1264" w:firstLineChars="600"/>
        <w:rPr>
          <w:rFonts w:ascii="宋体" w:hAnsi="宋体"/>
          <w:b/>
          <w:szCs w:val="21"/>
        </w:rPr>
      </w:pPr>
      <w:r>
        <w:rPr>
          <w:rFonts w:hint="eastAsia" w:ascii="宋体" w:hAnsi="宋体"/>
          <w:b/>
          <w:szCs w:val="21"/>
        </w:rPr>
        <w:t>关键信息</w:t>
      </w:r>
    </w:p>
    <w:p>
      <w:pPr>
        <w:spacing w:afterLines="0" w:line="360" w:lineRule="auto"/>
        <w:ind w:left="420" w:leftChars="200" w:firstLine="1260" w:firstLineChars="600"/>
        <w:rPr>
          <w:rFonts w:ascii="宋体" w:hAnsi="宋体"/>
          <w:szCs w:val="21"/>
        </w:rPr>
      </w:pPr>
      <w:r>
        <w:rPr>
          <w:rFonts w:hint="eastAsia" w:ascii="宋体" w:hAnsi="宋体"/>
          <w:szCs w:val="21"/>
        </w:rPr>
        <w:t>第一章  招标公告</w:t>
      </w:r>
    </w:p>
    <w:p>
      <w:pPr>
        <w:spacing w:afterLines="0" w:line="360" w:lineRule="auto"/>
        <w:ind w:left="420" w:leftChars="200" w:firstLine="1260" w:firstLineChars="600"/>
        <w:rPr>
          <w:rFonts w:ascii="宋体" w:hAnsi="宋体"/>
          <w:szCs w:val="21"/>
        </w:rPr>
      </w:pPr>
      <w:r>
        <w:rPr>
          <w:rFonts w:hint="eastAsia" w:ascii="宋体" w:hAnsi="宋体"/>
          <w:szCs w:val="21"/>
        </w:rPr>
        <w:t>第二章  投标资料表</w:t>
      </w:r>
    </w:p>
    <w:p>
      <w:pPr>
        <w:spacing w:afterLines="0" w:line="360" w:lineRule="auto"/>
        <w:ind w:left="420" w:leftChars="200" w:firstLine="1260" w:firstLineChars="600"/>
        <w:rPr>
          <w:rFonts w:ascii="宋体" w:hAnsi="宋体"/>
          <w:szCs w:val="21"/>
        </w:rPr>
      </w:pPr>
      <w:r>
        <w:rPr>
          <w:rFonts w:hint="eastAsia" w:ascii="宋体" w:hAnsi="宋体"/>
          <w:szCs w:val="21"/>
        </w:rPr>
        <w:t>第三章  招标项目需求</w:t>
      </w:r>
    </w:p>
    <w:p>
      <w:pPr>
        <w:spacing w:afterLines="0" w:line="360" w:lineRule="auto"/>
        <w:ind w:left="420" w:leftChars="200" w:firstLine="1260" w:firstLineChars="600"/>
        <w:rPr>
          <w:rFonts w:ascii="宋体" w:hAnsi="宋体"/>
          <w:szCs w:val="21"/>
        </w:rPr>
      </w:pPr>
      <w:r>
        <w:rPr>
          <w:rFonts w:hint="eastAsia" w:ascii="宋体" w:hAnsi="宋体"/>
          <w:szCs w:val="21"/>
        </w:rPr>
        <w:t>第四章  投标文件格式及附件</w:t>
      </w:r>
    </w:p>
    <w:p>
      <w:pPr>
        <w:spacing w:afterLines="0" w:line="360" w:lineRule="auto"/>
        <w:ind w:left="420" w:leftChars="200" w:firstLine="1260" w:firstLineChars="600"/>
        <w:rPr>
          <w:rFonts w:ascii="宋体" w:hAnsi="宋体"/>
          <w:b/>
          <w:szCs w:val="21"/>
        </w:rPr>
      </w:pPr>
      <w:r>
        <w:rPr>
          <w:rFonts w:hint="eastAsia" w:ascii="宋体" w:hAnsi="宋体"/>
          <w:szCs w:val="21"/>
        </w:rPr>
        <w:t>第五章  合同条款及格式</w:t>
      </w:r>
    </w:p>
    <w:p>
      <w:pPr>
        <w:spacing w:after="60" w:line="360" w:lineRule="auto"/>
        <w:ind w:left="630" w:leftChars="300" w:firstLine="411" w:firstLineChars="196"/>
        <w:rPr>
          <w:rFonts w:ascii="宋体" w:hAnsi="宋体"/>
          <w:szCs w:val="21"/>
        </w:rPr>
      </w:pPr>
    </w:p>
    <w:p>
      <w:pPr>
        <w:spacing w:after="60" w:line="360" w:lineRule="auto"/>
        <w:ind w:left="420" w:leftChars="200" w:firstLine="413" w:firstLineChars="196"/>
        <w:rPr>
          <w:rFonts w:ascii="宋体" w:hAnsi="宋体"/>
          <w:b/>
          <w:szCs w:val="21"/>
        </w:rPr>
      </w:pPr>
      <w:r>
        <w:rPr>
          <w:rFonts w:hint="eastAsia" w:ascii="宋体" w:hAnsi="宋体"/>
          <w:b/>
          <w:szCs w:val="21"/>
        </w:rPr>
        <w:t>第二册  通用条款</w:t>
      </w:r>
    </w:p>
    <w:p>
      <w:pPr>
        <w:spacing w:afterLines="0" w:line="360" w:lineRule="auto"/>
        <w:ind w:left="420" w:leftChars="200" w:firstLine="1260" w:firstLineChars="600"/>
        <w:rPr>
          <w:rFonts w:ascii="宋体" w:hAnsi="宋体"/>
          <w:szCs w:val="21"/>
        </w:rPr>
      </w:pPr>
      <w:r>
        <w:rPr>
          <w:rFonts w:hint="eastAsia" w:ascii="宋体" w:hAnsi="宋体"/>
          <w:szCs w:val="21"/>
        </w:rPr>
        <w:t>第一章  总则</w:t>
      </w:r>
    </w:p>
    <w:p>
      <w:pPr>
        <w:spacing w:afterLines="0" w:line="360" w:lineRule="auto"/>
        <w:ind w:left="420" w:leftChars="200" w:firstLine="1260" w:firstLineChars="600"/>
        <w:rPr>
          <w:rFonts w:ascii="宋体" w:hAnsi="宋体"/>
          <w:szCs w:val="21"/>
        </w:rPr>
      </w:pPr>
      <w:r>
        <w:rPr>
          <w:rFonts w:hint="eastAsia" w:ascii="宋体" w:hAnsi="宋体"/>
          <w:szCs w:val="21"/>
        </w:rPr>
        <w:t>第二章  招标文件</w:t>
      </w:r>
    </w:p>
    <w:p>
      <w:pPr>
        <w:spacing w:afterLines="0" w:line="360" w:lineRule="auto"/>
        <w:ind w:left="420" w:leftChars="200" w:firstLine="1260" w:firstLineChars="600"/>
        <w:rPr>
          <w:rFonts w:ascii="宋体" w:hAnsi="宋体"/>
          <w:szCs w:val="21"/>
        </w:rPr>
      </w:pPr>
      <w:r>
        <w:rPr>
          <w:rFonts w:hint="eastAsia" w:ascii="宋体" w:hAnsi="宋体"/>
          <w:szCs w:val="21"/>
        </w:rPr>
        <w:t>第三章  投标文件的编制</w:t>
      </w:r>
    </w:p>
    <w:p>
      <w:pPr>
        <w:spacing w:afterLines="0" w:line="360" w:lineRule="auto"/>
        <w:ind w:left="420" w:leftChars="200" w:firstLine="1260" w:firstLineChars="600"/>
        <w:rPr>
          <w:rFonts w:ascii="宋体" w:hAnsi="宋体"/>
          <w:szCs w:val="21"/>
        </w:rPr>
      </w:pPr>
      <w:r>
        <w:rPr>
          <w:rFonts w:hint="eastAsia" w:ascii="宋体" w:hAnsi="宋体"/>
          <w:szCs w:val="21"/>
        </w:rPr>
        <w:t>第四章  投标文件的递交</w:t>
      </w:r>
    </w:p>
    <w:p>
      <w:pPr>
        <w:spacing w:afterLines="0" w:line="360" w:lineRule="auto"/>
        <w:ind w:left="420" w:leftChars="200" w:firstLine="1260" w:firstLineChars="600"/>
        <w:rPr>
          <w:rFonts w:ascii="宋体" w:hAnsi="宋体"/>
          <w:szCs w:val="21"/>
        </w:rPr>
      </w:pPr>
      <w:r>
        <w:rPr>
          <w:rFonts w:hint="eastAsia" w:ascii="宋体" w:hAnsi="宋体"/>
          <w:szCs w:val="21"/>
        </w:rPr>
        <w:t>第五章  开标</w:t>
      </w:r>
    </w:p>
    <w:p>
      <w:pPr>
        <w:spacing w:afterLines="0" w:line="360" w:lineRule="auto"/>
        <w:ind w:left="420" w:leftChars="200" w:firstLine="1260" w:firstLineChars="600"/>
        <w:rPr>
          <w:rFonts w:ascii="宋体" w:hAnsi="宋体"/>
          <w:szCs w:val="21"/>
        </w:rPr>
      </w:pPr>
      <w:r>
        <w:rPr>
          <w:rFonts w:hint="eastAsia" w:ascii="宋体" w:hAnsi="宋体"/>
          <w:szCs w:val="21"/>
        </w:rPr>
        <w:t>第六章  评标要求</w:t>
      </w:r>
    </w:p>
    <w:p>
      <w:pPr>
        <w:spacing w:afterLines="0" w:line="360" w:lineRule="auto"/>
        <w:ind w:left="420" w:leftChars="200" w:firstLine="1260" w:firstLineChars="600"/>
        <w:rPr>
          <w:rFonts w:ascii="宋体" w:hAnsi="宋体"/>
          <w:szCs w:val="21"/>
        </w:rPr>
      </w:pPr>
      <w:r>
        <w:rPr>
          <w:rFonts w:hint="eastAsia" w:ascii="宋体" w:hAnsi="宋体"/>
          <w:szCs w:val="21"/>
        </w:rPr>
        <w:t>第七章  评标程序及评标方法</w:t>
      </w:r>
    </w:p>
    <w:p>
      <w:pPr>
        <w:spacing w:afterLines="0" w:line="360" w:lineRule="auto"/>
        <w:ind w:left="420" w:leftChars="200" w:firstLine="1260" w:firstLineChars="600"/>
        <w:rPr>
          <w:rFonts w:ascii="宋体" w:hAnsi="宋体"/>
          <w:szCs w:val="21"/>
        </w:rPr>
      </w:pPr>
      <w:r>
        <w:rPr>
          <w:rFonts w:hint="eastAsia" w:ascii="宋体" w:hAnsi="宋体"/>
          <w:szCs w:val="21"/>
        </w:rPr>
        <w:t>第八章  定标及公示</w:t>
      </w:r>
    </w:p>
    <w:p>
      <w:pPr>
        <w:spacing w:afterLines="0" w:line="360" w:lineRule="auto"/>
        <w:ind w:left="420" w:leftChars="200" w:firstLine="1260" w:firstLineChars="600"/>
        <w:rPr>
          <w:rFonts w:ascii="宋体" w:hAnsi="宋体"/>
          <w:szCs w:val="21"/>
        </w:rPr>
      </w:pPr>
      <w:r>
        <w:rPr>
          <w:rFonts w:hint="eastAsia" w:ascii="宋体" w:hAnsi="宋体"/>
          <w:szCs w:val="21"/>
        </w:rPr>
        <w:t>第九章  公开招标失败的后续处理</w:t>
      </w:r>
    </w:p>
    <w:p>
      <w:pPr>
        <w:spacing w:afterLines="0" w:line="360" w:lineRule="auto"/>
        <w:ind w:left="420" w:leftChars="200" w:firstLine="1260" w:firstLineChars="600"/>
        <w:rPr>
          <w:rFonts w:ascii="宋体" w:hAnsi="宋体"/>
          <w:szCs w:val="21"/>
        </w:rPr>
      </w:pPr>
      <w:r>
        <w:rPr>
          <w:rFonts w:hint="eastAsia" w:ascii="宋体" w:hAnsi="宋体"/>
          <w:szCs w:val="21"/>
        </w:rPr>
        <w:t>第十章  合同的授予与备案</w:t>
      </w:r>
    </w:p>
    <w:p>
      <w:pPr>
        <w:spacing w:afterLines="0" w:line="360" w:lineRule="auto"/>
        <w:ind w:left="420" w:leftChars="200" w:firstLine="1260" w:firstLineChars="600"/>
        <w:rPr>
          <w:rFonts w:ascii="宋体" w:hAnsi="宋体"/>
          <w:szCs w:val="21"/>
        </w:rPr>
      </w:pPr>
      <w:r>
        <w:rPr>
          <w:rFonts w:hint="eastAsia" w:ascii="宋体" w:hAnsi="宋体"/>
          <w:szCs w:val="21"/>
        </w:rPr>
        <w:t>第十一章  质疑处理</w:t>
      </w:r>
    </w:p>
    <w:p>
      <w:pPr>
        <w:spacing w:afterLines="0" w:line="360" w:lineRule="auto"/>
        <w:ind w:left="420" w:leftChars="200" w:firstLine="1260" w:firstLineChars="600"/>
        <w:rPr>
          <w:rFonts w:ascii="宋体" w:hAnsi="宋体"/>
          <w:szCs w:val="21"/>
        </w:rPr>
      </w:pPr>
      <w:r>
        <w:rPr>
          <w:rFonts w:hint="eastAsia" w:ascii="宋体" w:hAnsi="宋体"/>
          <w:szCs w:val="21"/>
        </w:rPr>
        <w:t>第十二章  关于中小企业划型标准规定</w:t>
      </w:r>
    </w:p>
    <w:p>
      <w:pPr>
        <w:spacing w:after="60" w:line="360" w:lineRule="auto"/>
        <w:ind w:left="630" w:leftChars="300" w:firstLine="411" w:firstLineChars="196"/>
        <w:rPr>
          <w:rFonts w:ascii="宋体" w:hAnsi="宋体"/>
          <w:szCs w:val="21"/>
        </w:rPr>
      </w:pPr>
    </w:p>
    <w:p>
      <w:pPr>
        <w:spacing w:after="60" w:line="360" w:lineRule="auto"/>
        <w:ind w:firstLine="411" w:firstLineChars="196"/>
        <w:rPr>
          <w:rFonts w:ascii="宋体" w:hAnsi="宋体"/>
          <w:szCs w:val="21"/>
        </w:rPr>
      </w:pPr>
      <w:r>
        <w:rPr>
          <w:rFonts w:hint="eastAsia" w:ascii="宋体" w:hAnsi="宋体"/>
          <w:szCs w:val="21"/>
        </w:rPr>
        <w:t>11.2 投标人下载招标文件后，应仔细检查招标文件的所有内容，如有疑问应在答疑截止时间之前向采购实施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spacing w:after="60" w:line="360" w:lineRule="auto"/>
        <w:ind w:firstLine="411" w:firstLineChars="196"/>
        <w:rPr>
          <w:rFonts w:ascii="宋体" w:hAnsi="宋体"/>
          <w:szCs w:val="21"/>
        </w:rPr>
      </w:pPr>
      <w:r>
        <w:rPr>
          <w:rFonts w:hint="eastAsia" w:ascii="宋体" w:hAnsi="宋体"/>
          <w:szCs w:val="21"/>
        </w:rPr>
        <w:t>11.3</w:t>
      </w:r>
      <w:r>
        <w:rPr>
          <w:rFonts w:hint="eastAsia" w:ascii="宋体" w:hAnsi="宋体"/>
        </w:rPr>
        <w:t>任何人或任何组织向投标人提交的任何书面或口头资料，未经</w:t>
      </w:r>
      <w:r>
        <w:rPr>
          <w:rFonts w:hint="eastAsia" w:ascii="宋体" w:hAnsi="宋体"/>
          <w:szCs w:val="21"/>
        </w:rPr>
        <w:t>采购实施机构</w:t>
      </w:r>
      <w:r>
        <w:rPr>
          <w:rFonts w:hint="eastAsia" w:ascii="宋体" w:hAnsi="宋体"/>
        </w:rPr>
        <w:t>在网上发布或书面通知，均作无效处理，不得作为招标文件的组成部分。</w:t>
      </w:r>
      <w:r>
        <w:rPr>
          <w:rFonts w:hint="eastAsia" w:ascii="宋体" w:hAnsi="宋体"/>
          <w:szCs w:val="21"/>
        </w:rPr>
        <w:t>采购实施机构</w:t>
      </w:r>
      <w:r>
        <w:rPr>
          <w:rFonts w:hint="eastAsia" w:ascii="宋体" w:hAnsi="宋体"/>
        </w:rPr>
        <w:t>对投标人由此而做出的推论、理解和结论概不负责。</w:t>
      </w:r>
    </w:p>
    <w:p>
      <w:pPr>
        <w:spacing w:after="60" w:line="360" w:lineRule="auto"/>
        <w:rPr>
          <w:rFonts w:ascii="黑体" w:hAnsi="宋体" w:eastAsia="黑体"/>
          <w:sz w:val="24"/>
        </w:rPr>
      </w:pPr>
      <w:r>
        <w:rPr>
          <w:rFonts w:hint="eastAsia" w:ascii="黑体" w:hAnsi="宋体" w:eastAsia="黑体"/>
          <w:sz w:val="24"/>
        </w:rPr>
        <w:t>12．招标文件的澄清</w:t>
      </w:r>
    </w:p>
    <w:p>
      <w:pPr>
        <w:snapToGrid w:val="0"/>
        <w:spacing w:after="60" w:line="360" w:lineRule="auto"/>
        <w:ind w:firstLine="420" w:firstLineChars="200"/>
        <w:rPr>
          <w:rFonts w:ascii="宋体" w:hAnsi="宋体"/>
          <w:szCs w:val="21"/>
        </w:rPr>
      </w:pPr>
      <w:r>
        <w:rPr>
          <w:rFonts w:hint="eastAsia" w:ascii="宋体" w:hAnsi="宋体"/>
          <w:szCs w:val="21"/>
        </w:rPr>
        <w:t>12.1投标人如对招标文件内容有疑问，必须在招标文件规定的答疑截止时间前以网上提问形式提交给采购实施机构。不论是采购实施机构根据需要主动对招标文件进行必要的澄清或是根据投标人的要求对招标文件做出澄清，采购实施机构都将在投标截止日期前以书面形式（包括采购实施机构网站公开发布方式）答复或发送给所有投标人，</w:t>
      </w:r>
      <w:r>
        <w:rPr>
          <w:rFonts w:hint="eastAsia" w:asciiTheme="minorEastAsia" w:hAnsiTheme="minorEastAsia" w:eastAsiaTheme="minorEastAsia"/>
          <w:bCs/>
        </w:rPr>
        <w:t>投标截止时间前，投标人有义务浏览上述网站，已发布的投标答疑视为已送达投标人</w:t>
      </w:r>
      <w:r>
        <w:rPr>
          <w:rFonts w:hint="eastAsia" w:ascii="宋体" w:hAnsi="宋体"/>
          <w:szCs w:val="21"/>
        </w:rPr>
        <w:t>。澄清纪要作为招标文件的组成部分，对投标人起约束作用；</w:t>
      </w:r>
    </w:p>
    <w:p>
      <w:pPr>
        <w:snapToGrid w:val="0"/>
        <w:spacing w:after="60" w:line="360" w:lineRule="auto"/>
        <w:ind w:firstLine="420" w:firstLineChars="200"/>
        <w:rPr>
          <w:rFonts w:ascii="宋体" w:hAnsi="宋体"/>
          <w:szCs w:val="21"/>
        </w:rPr>
      </w:pPr>
      <w:r>
        <w:rPr>
          <w:rFonts w:hint="eastAsia" w:ascii="宋体" w:hAnsi="宋体"/>
          <w:szCs w:val="21"/>
        </w:rPr>
        <w:t>12.2</w:t>
      </w:r>
      <w:r>
        <w:rPr>
          <w:rFonts w:hint="eastAsia" w:asciiTheme="minorEastAsia" w:hAnsiTheme="minorEastAsia" w:eastAsiaTheme="minorEastAsia"/>
          <w:bCs/>
        </w:rPr>
        <w:t>投标供应商若认为招标文件的技术要求有倾向性或不公正性，可在招标答疑阶段书面提出，以维护招标行为的公平、公正，</w:t>
      </w:r>
      <w:r>
        <w:rPr>
          <w:rFonts w:hint="eastAsia" w:ascii="宋体" w:hAnsi="宋体"/>
          <w:szCs w:val="21"/>
        </w:rPr>
        <w:t>采购实施机构</w:t>
      </w:r>
      <w:r>
        <w:rPr>
          <w:rFonts w:hint="eastAsia" w:asciiTheme="minorEastAsia" w:hAnsiTheme="minorEastAsia" w:eastAsiaTheme="minorEastAsia"/>
          <w:bCs/>
        </w:rPr>
        <w:t>对在规定的时间内收到的对招标文件的澄清要求均以公告形式或网上答疑形式在</w:t>
      </w:r>
      <w:r>
        <w:rPr>
          <w:rFonts w:hint="eastAsia" w:asciiTheme="minorEastAsia" w:hAnsiTheme="minorEastAsia" w:eastAsiaTheme="minorEastAsia"/>
        </w:rPr>
        <w:t>深圳公共资源交易中心深圳交易集团有限公司政府采购业务分公司网（</w:t>
      </w:r>
      <w:r>
        <w:rPr>
          <w:rFonts w:asciiTheme="minorEastAsia" w:hAnsiTheme="minorEastAsia" w:eastAsiaTheme="minorEastAsia"/>
        </w:rPr>
        <w:t>http://www.szzfcg.cn/</w:t>
      </w:r>
      <w:r>
        <w:rPr>
          <w:rFonts w:hint="eastAsia" w:asciiTheme="minorEastAsia" w:hAnsiTheme="minorEastAsia" w:eastAsiaTheme="minorEastAsia"/>
        </w:rPr>
        <w:t>）</w:t>
      </w:r>
      <w:r>
        <w:rPr>
          <w:rFonts w:hint="eastAsia" w:asciiTheme="minorEastAsia" w:hAnsiTheme="minorEastAsia" w:eastAsiaTheme="minorEastAsia"/>
          <w:bCs/>
        </w:rPr>
        <w:t>上予以答复，投标截止时间前，投标人有义务浏览上述网站，已发布的答复公告视为已送达投标人。该答复作为招标文件的一部分，对投标人有约束力。</w:t>
      </w:r>
    </w:p>
    <w:p>
      <w:pPr>
        <w:snapToGrid w:val="0"/>
        <w:spacing w:after="60" w:line="360" w:lineRule="auto"/>
        <w:ind w:firstLine="420" w:firstLineChars="200"/>
        <w:rPr>
          <w:rFonts w:ascii="宋体" w:hAnsi="宋体"/>
          <w:szCs w:val="21"/>
        </w:rPr>
      </w:pPr>
      <w:r>
        <w:rPr>
          <w:rFonts w:hint="eastAsia" w:ascii="宋体" w:hAnsi="宋体"/>
          <w:szCs w:val="21"/>
        </w:rPr>
        <w:t>12.3对于没有提出澄清又参与了该项目投标的供应商将被视为完全认同该</w:t>
      </w:r>
      <w:r>
        <w:rPr>
          <w:rFonts w:hint="eastAsia"/>
        </w:rPr>
        <w:t>招标文件（含澄清纪要）</w:t>
      </w:r>
      <w:r>
        <w:rPr>
          <w:rFonts w:hint="eastAsia" w:ascii="宋体" w:hAnsi="宋体"/>
          <w:szCs w:val="21"/>
        </w:rPr>
        <w:t>，投标截止期后不再受理针对招标文件的相关质疑或投诉。</w:t>
      </w:r>
    </w:p>
    <w:p>
      <w:pPr>
        <w:snapToGrid w:val="0"/>
        <w:spacing w:after="60" w:line="360" w:lineRule="auto"/>
        <w:ind w:firstLine="420" w:firstLineChars="200"/>
        <w:rPr>
          <w:rFonts w:ascii="宋体" w:hAnsi="宋体"/>
          <w:szCs w:val="21"/>
        </w:rPr>
      </w:pPr>
      <w:r>
        <w:rPr>
          <w:rFonts w:hint="eastAsia" w:ascii="宋体" w:hAnsi="宋体"/>
          <w:szCs w:val="21"/>
        </w:rPr>
        <w:t>12.4对招标文件中描述有歧意或前后不一致的地方，评审委员会有权进行评判，但对同一条款的评判应适用于每个投标人。</w:t>
      </w:r>
    </w:p>
    <w:p>
      <w:pPr>
        <w:spacing w:after="60" w:line="360" w:lineRule="auto"/>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3.1招标文件发出后，在投标截止日期前任何时候，确需要变更招标内容的，采购实施机构可主动或在解答投标人提出的澄清问题时对招标文件进行修改；</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3.2招标文件的修改以书面形式（包括网站公开发布方式）发送给所有投标人，招标文件的修改内容作为招标文件的组成部分，并具有约束力。</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疑）纪要、招标文件修改补充通知内容均以书面（包括网站公开发布方式）明确的内容为准。当招标文件、修改补充通知、澄清（答疑）纪要内容相互矛盾时，以最后发出的内容为准；</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3.4采购实施机构保证招标文件澄清（答疑）纪要和招标文件修改补充通知在投标截止时间前以网站公开发布形式或书面形式发送给所有投标人。为使投标人在编写投标文件时有充分时间对招标文件的修改部分进行研究，采购实施机构可以酌情延长递交投标文件的截止日期，具体时间将在修改补充通知中明确。</w:t>
      </w:r>
    </w:p>
    <w:p>
      <w:pPr>
        <w:spacing w:after="60" w:line="360" w:lineRule="auto"/>
        <w:ind w:firstLine="411" w:firstLineChars="196"/>
        <w:rPr>
          <w:rFonts w:ascii="宋体" w:hAnsi="宋体"/>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第三章  投标文件的编制</w:t>
      </w:r>
    </w:p>
    <w:p>
      <w:pPr>
        <w:spacing w:after="60" w:line="360" w:lineRule="auto"/>
        <w:rPr>
          <w:rFonts w:ascii="黑体" w:hAnsi="宋体" w:eastAsia="黑体"/>
          <w:sz w:val="24"/>
        </w:rPr>
      </w:pPr>
      <w:r>
        <w:rPr>
          <w:rFonts w:hint="eastAsia" w:ascii="黑体" w:hAnsi="宋体" w:eastAsia="黑体"/>
          <w:sz w:val="24"/>
        </w:rPr>
        <w:t>14．投标文件的语言及度量单位</w:t>
      </w:r>
    </w:p>
    <w:p>
      <w:pPr>
        <w:spacing w:after="60" w:line="360" w:lineRule="auto"/>
        <w:ind w:firstLine="411" w:firstLineChars="196"/>
        <w:rPr>
          <w:rFonts w:ascii="宋体" w:hAnsi="宋体"/>
          <w:szCs w:val="21"/>
        </w:rPr>
      </w:pPr>
      <w:r>
        <w:rPr>
          <w:rFonts w:hint="eastAsia" w:ascii="宋体" w:hAnsi="宋体"/>
          <w:szCs w:val="21"/>
        </w:rPr>
        <w:t>14.1 投标人与采购实施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pacing w:after="60" w:line="360" w:lineRule="auto"/>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pPr>
        <w:spacing w:after="60" w:line="360" w:lineRule="auto"/>
        <w:rPr>
          <w:rFonts w:ascii="黑体" w:hAnsi="宋体" w:eastAsia="黑体"/>
          <w:sz w:val="24"/>
        </w:rPr>
      </w:pPr>
      <w:r>
        <w:rPr>
          <w:rFonts w:hint="eastAsia" w:ascii="黑体" w:hAnsi="宋体" w:eastAsia="黑体"/>
          <w:sz w:val="24"/>
        </w:rPr>
        <w:t>15．投标文件的组成</w:t>
      </w:r>
    </w:p>
    <w:p>
      <w:pPr>
        <w:spacing w:after="60" w:line="360" w:lineRule="auto"/>
        <w:ind w:firstLine="413" w:firstLineChars="196"/>
        <w:rPr>
          <w:rFonts w:ascii="宋体" w:hAnsi="宋体"/>
          <w:b/>
          <w:szCs w:val="21"/>
        </w:rPr>
      </w:pPr>
      <w:r>
        <w:rPr>
          <w:rFonts w:hint="eastAsia" w:ascii="宋体" w:hAnsi="宋体"/>
          <w:b/>
          <w:szCs w:val="21"/>
        </w:rPr>
        <w:t>具体内容请详见本项目</w:t>
      </w:r>
      <w:r>
        <w:rPr>
          <w:rFonts w:hint="eastAsia" w:ascii="宋体" w:hAnsi="宋体"/>
          <w:b/>
          <w:bCs/>
          <w:szCs w:val="21"/>
        </w:rPr>
        <w:t>招标文件第一册“专用条款”</w:t>
      </w:r>
      <w:r>
        <w:rPr>
          <w:rFonts w:hint="eastAsia" w:ascii="宋体" w:hAnsi="宋体"/>
          <w:b/>
          <w:szCs w:val="21"/>
        </w:rPr>
        <w:t>的相关内容。</w:t>
      </w:r>
    </w:p>
    <w:p>
      <w:pPr>
        <w:spacing w:after="60" w:line="360" w:lineRule="auto"/>
        <w:rPr>
          <w:rFonts w:ascii="黑体" w:hAnsi="宋体" w:eastAsia="黑体"/>
          <w:sz w:val="24"/>
        </w:rPr>
      </w:pPr>
      <w:r>
        <w:rPr>
          <w:rFonts w:hint="eastAsia" w:ascii="黑体" w:hAnsi="宋体" w:eastAsia="黑体"/>
          <w:sz w:val="24"/>
        </w:rPr>
        <w:t>16．投标文件格式</w:t>
      </w:r>
    </w:p>
    <w:p>
      <w:pPr>
        <w:spacing w:after="60" w:line="360" w:lineRule="auto"/>
        <w:ind w:firstLine="411" w:firstLineChars="196"/>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Cs/>
          <w:szCs w:val="21"/>
        </w:rPr>
        <w:t>投标人提交的投标文件应毫无例外地使用招标文件所提供的相应格式</w:t>
      </w:r>
      <w:r>
        <w:rPr>
          <w:rFonts w:hint="eastAsia" w:ascii="宋体" w:hAnsi="宋体"/>
          <w:szCs w:val="21"/>
        </w:rPr>
        <w:t>（表格可以按同样格式扩展）。</w:t>
      </w:r>
    </w:p>
    <w:p>
      <w:pPr>
        <w:spacing w:after="60" w:line="360" w:lineRule="auto"/>
        <w:rPr>
          <w:rFonts w:ascii="黑体" w:hAnsi="宋体" w:eastAsia="黑体"/>
          <w:sz w:val="24"/>
        </w:rPr>
      </w:pPr>
      <w:r>
        <w:rPr>
          <w:rFonts w:hint="eastAsia" w:ascii="黑体" w:hAnsi="宋体" w:eastAsia="黑体"/>
          <w:sz w:val="24"/>
        </w:rPr>
        <w:t>17．投标货币</w:t>
      </w:r>
    </w:p>
    <w:p>
      <w:pPr>
        <w:spacing w:after="60" w:line="360" w:lineRule="auto"/>
        <w:ind w:firstLine="411" w:firstLineChars="196"/>
        <w:rPr>
          <w:rFonts w:ascii="宋体" w:hAnsi="宋体"/>
          <w:szCs w:val="21"/>
        </w:rPr>
      </w:pPr>
      <w:r>
        <w:rPr>
          <w:rFonts w:hint="eastAsia" w:ascii="宋体" w:hAnsi="宋体"/>
          <w:szCs w:val="21"/>
        </w:rPr>
        <w:t>本项目的投标应以人民币计。</w:t>
      </w:r>
    </w:p>
    <w:p>
      <w:pPr>
        <w:spacing w:after="60" w:line="360" w:lineRule="auto"/>
        <w:rPr>
          <w:rFonts w:ascii="黑体" w:hAnsi="宋体" w:eastAsia="黑体"/>
          <w:sz w:val="24"/>
        </w:rPr>
      </w:pPr>
      <w:r>
        <w:rPr>
          <w:rFonts w:hint="eastAsia" w:ascii="黑体" w:hAnsi="宋体" w:eastAsia="黑体"/>
          <w:sz w:val="24"/>
        </w:rPr>
        <w:t>18．证明投标文件投标技术方案的合格性和符合招标文件规定的文件要求</w:t>
      </w:r>
    </w:p>
    <w:p>
      <w:pPr>
        <w:spacing w:after="60" w:line="360" w:lineRule="auto"/>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投标人应提交证明文件证明其投标技术方案项下的货物、工程和服务的合格性符合招标文件规定。该投标技术方案及其证明文件作为投标文件的一部分。</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spacing w:after="60" w:line="360" w:lineRule="auto"/>
        <w:ind w:firstLine="411" w:firstLineChars="196"/>
        <w:rPr>
          <w:rFonts w:ascii="宋体" w:hAnsi="宋体"/>
          <w:szCs w:val="21"/>
        </w:rPr>
      </w:pPr>
      <w:r>
        <w:rPr>
          <w:rFonts w:hint="eastAsia" w:ascii="宋体" w:hAnsi="宋体"/>
          <w:szCs w:val="21"/>
        </w:rPr>
        <w:t>18.2.1主要技术指标和性能的详细说明。</w:t>
      </w:r>
    </w:p>
    <w:p>
      <w:pPr>
        <w:spacing w:after="60" w:line="360" w:lineRule="auto"/>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spacing w:after="60" w:line="360" w:lineRule="auto"/>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pPr>
        <w:spacing w:after="60" w:line="360" w:lineRule="auto"/>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spacing w:after="60" w:line="360" w:lineRule="auto"/>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spacing w:after="60" w:line="360" w:lineRule="auto"/>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spacing w:after="60" w:line="36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spacing w:after="60" w:line="360" w:lineRule="auto"/>
        <w:ind w:firstLine="411" w:firstLineChars="196"/>
        <w:rPr>
          <w:rFonts w:ascii="宋体" w:hAnsi="宋体"/>
          <w:szCs w:val="21"/>
        </w:rPr>
      </w:pPr>
      <w:r>
        <w:rPr>
          <w:rFonts w:hint="eastAsia" w:ascii="宋体" w:hAnsi="宋体"/>
          <w:szCs w:val="21"/>
        </w:rPr>
        <w:t>18.5为保证公平公正，除非另有规定或说明，投标人对同一项目投标时，不得同时提供两套或两套以上的投标方案。</w:t>
      </w:r>
    </w:p>
    <w:p>
      <w:pPr>
        <w:spacing w:after="60" w:line="360" w:lineRule="auto"/>
        <w:rPr>
          <w:rFonts w:ascii="黑体" w:hAnsi="宋体" w:eastAsia="黑体"/>
          <w:sz w:val="24"/>
        </w:rPr>
      </w:pPr>
      <w:r>
        <w:rPr>
          <w:rFonts w:hint="eastAsia" w:ascii="黑体" w:hAnsi="宋体" w:eastAsia="黑体"/>
          <w:sz w:val="24"/>
        </w:rPr>
        <w:t>19．投标文件其他证明文件的要求</w:t>
      </w:r>
    </w:p>
    <w:p>
      <w:pPr>
        <w:spacing w:after="60" w:line="360" w:lineRule="auto"/>
        <w:rPr>
          <w:rFonts w:ascii="宋体" w:hAnsi="宋体"/>
          <w:szCs w:val="21"/>
        </w:rPr>
      </w:pPr>
      <w:r>
        <w:rPr>
          <w:rFonts w:hint="eastAsia" w:ascii="黑体" w:hAnsi="宋体" w:eastAsia="黑体"/>
          <w:sz w:val="24"/>
        </w:rPr>
        <w:t xml:space="preserve">    </w:t>
      </w:r>
      <w:r>
        <w:rPr>
          <w:rFonts w:hint="eastAsia" w:ascii="宋体" w:hAnsi="宋体"/>
          <w:szCs w:val="21"/>
        </w:rPr>
        <w:t>19.1对项目招标文件《评标信息》评分项中涉及的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pPr>
        <w:spacing w:after="60" w:line="360" w:lineRule="auto"/>
        <w:ind w:firstLine="420" w:firstLineChars="200"/>
        <w:rPr>
          <w:rFonts w:ascii="宋体" w:hAnsi="宋体"/>
          <w:szCs w:val="21"/>
        </w:rPr>
      </w:pPr>
      <w:r>
        <w:rPr>
          <w:rFonts w:hint="eastAsia" w:ascii="宋体" w:hAnsi="宋体"/>
          <w:szCs w:val="21"/>
        </w:rPr>
        <w:t>（1）被质疑供应商未能在合理时间内提供资料原件核对，且不能合理说明的；</w:t>
      </w:r>
    </w:p>
    <w:p>
      <w:pPr>
        <w:spacing w:after="60" w:line="360" w:lineRule="auto"/>
        <w:ind w:firstLine="420" w:firstLineChars="200"/>
        <w:rPr>
          <w:rFonts w:ascii="宋体" w:hAnsi="宋体"/>
          <w:szCs w:val="21"/>
        </w:rPr>
      </w:pPr>
      <w:r>
        <w:rPr>
          <w:rFonts w:hint="eastAsia" w:ascii="宋体" w:hAnsi="宋体"/>
          <w:szCs w:val="21"/>
        </w:rPr>
        <w:t>（2）被质疑供应商提供的资料原件与投标文件资料不一致的；</w:t>
      </w:r>
    </w:p>
    <w:p>
      <w:pPr>
        <w:spacing w:after="60" w:line="360" w:lineRule="auto"/>
        <w:ind w:firstLine="420" w:firstLineChars="200"/>
        <w:rPr>
          <w:rFonts w:ascii="宋体" w:hAnsi="宋体"/>
          <w:szCs w:val="21"/>
        </w:rPr>
      </w:pPr>
      <w:r>
        <w:rPr>
          <w:rFonts w:hint="eastAsia" w:ascii="宋体" w:hAnsi="宋体"/>
          <w:szCs w:val="21"/>
        </w:rPr>
        <w:t>（3）被质疑供应商投标文件资料信息与在相应官方查询渠道查询到的信息不一致，且不能合理说明的。</w:t>
      </w:r>
    </w:p>
    <w:p>
      <w:pPr>
        <w:spacing w:after="60" w:line="360" w:lineRule="auto"/>
        <w:ind w:firstLine="411" w:firstLineChars="196"/>
        <w:rPr>
          <w:rFonts w:ascii="宋体" w:hAnsi="宋体"/>
          <w:szCs w:val="21"/>
        </w:rPr>
      </w:pPr>
      <w:r>
        <w:rPr>
          <w:rFonts w:hint="eastAsia" w:ascii="宋体" w:hAnsi="宋体"/>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pPr>
        <w:spacing w:after="60" w:line="360" w:lineRule="auto"/>
        <w:rPr>
          <w:rFonts w:ascii="黑体" w:hAnsi="宋体" w:eastAsia="黑体"/>
          <w:sz w:val="24"/>
        </w:rPr>
      </w:pPr>
      <w:r>
        <w:rPr>
          <w:rFonts w:hint="eastAsia" w:ascii="黑体" w:hAnsi="宋体" w:eastAsia="黑体"/>
          <w:sz w:val="24"/>
        </w:rPr>
        <w:t>20．投标有效期</w:t>
      </w:r>
    </w:p>
    <w:p>
      <w:pPr>
        <w:spacing w:after="60" w:line="360" w:lineRule="auto"/>
        <w:ind w:firstLine="411" w:firstLineChars="196"/>
        <w:rPr>
          <w:rFonts w:ascii="宋体" w:hAnsi="宋体"/>
          <w:szCs w:val="21"/>
        </w:rPr>
      </w:pPr>
      <w:r>
        <w:rPr>
          <w:rFonts w:hint="eastAsia" w:ascii="宋体" w:hAnsi="宋体"/>
          <w:szCs w:val="21"/>
        </w:rPr>
        <w:t>20.1 投标有效期为</w:t>
      </w:r>
      <w:r>
        <w:rPr>
          <w:rFonts w:hint="eastAsia" w:cs="Arial"/>
          <w:szCs w:val="21"/>
        </w:rPr>
        <w:t>从投标截止之日算起的日历天数，具体见专用条款中投标有效期的天数要求。</w:t>
      </w:r>
      <w:r>
        <w:rPr>
          <w:rFonts w:hint="eastAsia" w:ascii="宋体" w:hAnsi="宋体"/>
          <w:szCs w:val="21"/>
        </w:rPr>
        <w:t>在此期限内，所有投标文件均保持有效；</w:t>
      </w:r>
    </w:p>
    <w:p>
      <w:pPr>
        <w:spacing w:after="60" w:line="360" w:lineRule="auto"/>
        <w:ind w:firstLine="411" w:firstLineChars="196"/>
        <w:rPr>
          <w:rFonts w:ascii="宋体" w:hAnsi="宋体"/>
          <w:szCs w:val="21"/>
        </w:rPr>
      </w:pPr>
      <w:r>
        <w:rPr>
          <w:rFonts w:hint="eastAsia" w:ascii="宋体" w:hAnsi="宋体"/>
          <w:szCs w:val="21"/>
        </w:rPr>
        <w:t>20.2 在特殊的情况下，采购实施机构在原定的投标有效期满之前，采购实施机构可以根据需要以书面形式（包括网站公开发布方式）向投标人提出延长投标有效期的要求，对此要求投标人须以书面形式予以答复，投标人可以拒绝采购实施机构此项要求，其投标在原投标有效期满后不再有效。同意延长投标有效期的投标人不能要求也不允许修改其投标文件，但应当相应的延长投标担保有效期；</w:t>
      </w:r>
    </w:p>
    <w:p>
      <w:pPr>
        <w:spacing w:after="60" w:line="360" w:lineRule="auto"/>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中标单位的投标书有效期，截止于完成本招标文件规定的全部项目内容，并通过竣工验收及保修结束。</w:t>
      </w:r>
    </w:p>
    <w:p>
      <w:pPr>
        <w:spacing w:after="60" w:line="360" w:lineRule="auto"/>
        <w:rPr>
          <w:rFonts w:ascii="黑体" w:hAnsi="宋体" w:eastAsia="黑体"/>
          <w:sz w:val="24"/>
        </w:rPr>
      </w:pPr>
      <w:r>
        <w:rPr>
          <w:rFonts w:hint="eastAsia" w:ascii="黑体" w:hAnsi="宋体" w:eastAsia="黑体"/>
          <w:sz w:val="24"/>
        </w:rPr>
        <w:t xml:space="preserve">21．关于投标保证金 </w:t>
      </w:r>
    </w:p>
    <w:p>
      <w:pPr>
        <w:spacing w:after="60" w:line="360" w:lineRule="auto"/>
        <w:rPr>
          <w:rFonts w:ascii="宋体" w:hAnsi="宋体"/>
          <w:szCs w:val="21"/>
        </w:rPr>
      </w:pPr>
      <w:r>
        <w:rPr>
          <w:rFonts w:hint="eastAsia" w:ascii="宋体" w:hAnsi="宋体"/>
          <w:szCs w:val="21"/>
        </w:rPr>
        <w:t xml:space="preserve">    21.1 自2019年8月15日起，深圳公共资源交易中心停止收取投标保证金和履约保证金。深圳公共资源交易中心将同时为所有注册供应商开放投标权限（因受到主管部门处罚锁定投标权限的除外）。</w:t>
      </w:r>
    </w:p>
    <w:p>
      <w:pPr>
        <w:spacing w:after="60" w:line="360" w:lineRule="auto"/>
        <w:rPr>
          <w:rFonts w:ascii="宋体" w:hAnsi="宋体"/>
          <w:szCs w:val="21"/>
        </w:rPr>
      </w:pPr>
      <w:r>
        <w:rPr>
          <w:rFonts w:hint="eastAsia" w:ascii="宋体" w:hAnsi="宋体"/>
          <w:szCs w:val="21"/>
        </w:rPr>
        <w:t xml:space="preserve">    21.2 咨询电话：0755-83948155。</w:t>
      </w:r>
    </w:p>
    <w:p>
      <w:pPr>
        <w:spacing w:after="60" w:line="360" w:lineRule="auto"/>
        <w:rPr>
          <w:rFonts w:ascii="黑体" w:hAnsi="宋体" w:eastAsia="黑体"/>
          <w:sz w:val="24"/>
        </w:rPr>
      </w:pPr>
      <w:r>
        <w:rPr>
          <w:rFonts w:hint="eastAsia" w:ascii="黑体" w:hAnsi="宋体" w:eastAsia="黑体"/>
          <w:sz w:val="24"/>
        </w:rPr>
        <w:t>22．投标人的替代方案</w:t>
      </w:r>
    </w:p>
    <w:p>
      <w:pPr>
        <w:spacing w:after="60" w:line="360" w:lineRule="auto"/>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pPr>
        <w:spacing w:after="60" w:line="360" w:lineRule="auto"/>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spacing w:after="60" w:line="360" w:lineRule="auto"/>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spacing w:after="60" w:line="360" w:lineRule="auto"/>
        <w:ind w:firstLine="411" w:firstLineChars="196"/>
        <w:rPr>
          <w:rFonts w:ascii="宋体" w:hAnsi="宋体"/>
        </w:rPr>
      </w:pPr>
      <w:r>
        <w:rPr>
          <w:rFonts w:hint="eastAsia" w:ascii="宋体" w:hAnsi="宋体"/>
        </w:rPr>
        <w:t>23.1投标人应准备所投项目的电子投标文件一份。此电子投标文件须由投标人根据采购实施机构提供的后缀名为.zbs的电子招标文件、《投标书编制软件》编制。</w:t>
      </w:r>
      <w:r>
        <w:rPr>
          <w:rFonts w:hint="eastAsia" w:cs="Arial" w:asciiTheme="minorEastAsia" w:hAnsiTheme="minorEastAsia" w:eastAsiaTheme="minorEastAsia"/>
          <w:b/>
        </w:rPr>
        <w:t>投标人应使用最新版本的投标书编制软件制作投标文件，因投标人未及时更新投标书编制软件造成投标文件出错（如：开标一览表空白，无法正常导入投标书浏览软件等）而导致的投标无效，后果由投标人自负。（请投标人制作投标文件前，在深圳市政府采购网（专项服务→面向供应商→相关软件和表格下载）中下载并安装最新版本的投标书编制软件，或在打开新版投标书编制软件时按自动升级提示要求安装投标书编制软件至最新版本。）</w:t>
      </w:r>
    </w:p>
    <w:p>
      <w:pPr>
        <w:spacing w:after="60" w:line="360" w:lineRule="auto"/>
        <w:ind w:firstLine="411" w:firstLineChars="196"/>
        <w:rPr>
          <w:rFonts w:ascii="宋体" w:hAnsi="宋体"/>
        </w:rPr>
      </w:pPr>
      <w:r>
        <w:rPr>
          <w:rFonts w:hint="eastAsia" w:ascii="宋体" w:hAnsi="宋体"/>
        </w:rPr>
        <w:t>23.2投标人在使用《投标书编制软件》编制投标书时须注意：</w:t>
      </w:r>
    </w:p>
    <w:p>
      <w:pPr>
        <w:spacing w:after="60" w:line="360" w:lineRule="auto"/>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spacing w:after="60" w:line="360" w:lineRule="auto"/>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spacing w:after="60" w:line="360" w:lineRule="auto"/>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spacing w:after="60" w:line="360" w:lineRule="auto"/>
        <w:ind w:firstLine="411" w:firstLineChars="196"/>
        <w:rPr>
          <w:rFonts w:ascii="宋体" w:hAnsi="宋体"/>
        </w:rPr>
      </w:pPr>
      <w:r>
        <w:rPr>
          <w:rFonts w:hint="eastAsia" w:ascii="宋体" w:hAnsi="宋体"/>
        </w:rPr>
        <w:t>23.2.4</w:t>
      </w:r>
      <w:r>
        <w:rPr>
          <w:rFonts w:hint="eastAsia" w:asciiTheme="minorEastAsia" w:hAnsiTheme="minorEastAsia" w:eastAsiaTheme="minorEastAsia"/>
          <w:szCs w:val="21"/>
        </w:rPr>
        <w:t>投标文件不能带病毒。政府集中采购机构将用瑞星杀毒软件和赛门铁克杀毒软件对投标文件进行病毒检测，如果这两种软件均报告发现病毒，则政府集中采购机构认为该投标文件带病毒，其投标将被拒绝</w:t>
      </w:r>
      <w:r>
        <w:rPr>
          <w:rFonts w:hint="eastAsia" w:ascii="宋体" w:hAnsi="宋体"/>
        </w:rPr>
        <w:t>。</w:t>
      </w:r>
    </w:p>
    <w:p>
      <w:pPr>
        <w:spacing w:after="60" w:line="360" w:lineRule="auto"/>
        <w:ind w:firstLine="411" w:firstLineChars="196"/>
        <w:rPr>
          <w:rFonts w:ascii="宋体" w:hAnsi="宋体"/>
        </w:rPr>
      </w:pPr>
      <w:r>
        <w:rPr>
          <w:rFonts w:hint="eastAsia" w:ascii="宋体" w:hAnsi="宋体"/>
        </w:rPr>
        <w:t>23.2.5完整填写“投标关键信息”，如下图所示：</w:t>
      </w:r>
    </w:p>
    <w:p>
      <w:pPr>
        <w:spacing w:after="60" w:line="360" w:lineRule="auto"/>
        <w:ind w:firstLine="411" w:firstLineChars="196"/>
        <w:rPr>
          <w:rFonts w:ascii="宋体" w:hAnsi="宋体"/>
        </w:rPr>
      </w:pPr>
      <w:r>
        <w:rPr>
          <w:rFonts w:hint="eastAsia" w:ascii="宋体" w:hAnsi="宋体"/>
        </w:rPr>
        <w:t>（1）货物类</w:t>
      </w:r>
    </w:p>
    <w:p>
      <w:pPr>
        <w:spacing w:after="60" w:line="360" w:lineRule="auto"/>
        <w:ind w:firstLine="411" w:firstLineChars="196"/>
        <w:rPr>
          <w:rFonts w:ascii="宋体" w:hAnsi="宋体"/>
        </w:rPr>
      </w:pPr>
      <w:r>
        <w:rPr>
          <w:rFonts w:ascii="宋体" w:hAnsi="宋体"/>
        </w:rPr>
        <w:drawing>
          <wp:inline distT="0" distB="0" distL="0" distR="0">
            <wp:extent cx="5274945" cy="3522980"/>
            <wp:effectExtent l="19050" t="0" r="1905" b="0"/>
            <wp:docPr id="5" name="图片 4" descr="C:\Users\weixun\Documents\Tencent Files\175277410\Image\C2C\Image1\T_D}XAT_OUE)6}FU%{YJA`W.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4" descr="C:\Users\weixun\Documents\Tencent Files\175277410\Image\C2C\Image1\T_D}XAT_OUE)6}FU%{YJA`W.jpg"/>
                    <pic:cNvPicPr>
                      <a:picLocks noChangeAspect="true" noChangeArrowheads="true"/>
                    </pic:cNvPicPr>
                  </pic:nvPicPr>
                  <pic:blipFill>
                    <a:blip r:embed="rId8"/>
                    <a:srcRect/>
                    <a:stretch>
                      <a:fillRect/>
                    </a:stretch>
                  </pic:blipFill>
                  <pic:spPr>
                    <a:xfrm>
                      <a:off x="0" y="0"/>
                      <a:ext cx="5274945" cy="3522980"/>
                    </a:xfrm>
                    <a:prstGeom prst="rect">
                      <a:avLst/>
                    </a:prstGeom>
                    <a:noFill/>
                    <a:ln w="9525">
                      <a:noFill/>
                      <a:miter lim="800000"/>
                      <a:headEnd/>
                      <a:tailEnd/>
                    </a:ln>
                  </pic:spPr>
                </pic:pic>
              </a:graphicData>
            </a:graphic>
          </wp:inline>
        </w:drawing>
      </w:r>
    </w:p>
    <w:p>
      <w:pPr>
        <w:spacing w:after="60" w:line="360" w:lineRule="auto"/>
        <w:ind w:firstLine="411" w:firstLineChars="196"/>
        <w:rPr>
          <w:rFonts w:ascii="宋体" w:hAnsi="宋体"/>
        </w:rPr>
      </w:pPr>
    </w:p>
    <w:p>
      <w:pPr>
        <w:spacing w:after="60" w:line="360" w:lineRule="auto"/>
        <w:ind w:firstLine="411" w:firstLineChars="196"/>
        <w:rPr>
          <w:rFonts w:ascii="宋体" w:hAnsi="宋体"/>
        </w:rPr>
      </w:pPr>
      <w:r>
        <w:rPr>
          <w:rFonts w:hint="eastAsia" w:ascii="宋体" w:hAnsi="宋体"/>
        </w:rPr>
        <w:t>（2）服务类</w:t>
      </w:r>
    </w:p>
    <w:p>
      <w:pPr>
        <w:widowControl/>
        <w:spacing w:after="60" w:line="360" w:lineRule="auto"/>
        <w:jc w:val="left"/>
        <w:rPr>
          <w:rFonts w:ascii="宋体" w:hAnsi="宋体" w:cs="宋体"/>
          <w:kern w:val="0"/>
          <w:sz w:val="24"/>
        </w:rPr>
      </w:pPr>
      <w:r>
        <w:rPr>
          <w:rFonts w:ascii="宋体" w:hAnsi="宋体" w:cs="宋体"/>
          <w:kern w:val="0"/>
          <w:sz w:val="24"/>
        </w:rPr>
        <w:drawing>
          <wp:inline distT="0" distB="0" distL="0" distR="0">
            <wp:extent cx="5274945" cy="3667125"/>
            <wp:effectExtent l="19050" t="0" r="1905" b="0"/>
            <wp:docPr id="6"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true" noChangeArrowheads="true"/>
                    </pic:cNvPicPr>
                  </pic:nvPicPr>
                  <pic:blipFill>
                    <a:blip r:embed="rId9"/>
                    <a:srcRect/>
                    <a:stretch>
                      <a:fillRect/>
                    </a:stretch>
                  </pic:blipFill>
                  <pic:spPr>
                    <a:xfrm>
                      <a:off x="0" y="0"/>
                      <a:ext cx="5274945" cy="3667125"/>
                    </a:xfrm>
                    <a:prstGeom prst="rect">
                      <a:avLst/>
                    </a:prstGeom>
                    <a:noFill/>
                    <a:ln w="9525">
                      <a:noFill/>
                      <a:miter lim="800000"/>
                      <a:headEnd/>
                      <a:tailEnd/>
                    </a:ln>
                  </pic:spPr>
                </pic:pic>
              </a:graphicData>
            </a:graphic>
          </wp:inline>
        </w:drawing>
      </w:r>
    </w:p>
    <w:p>
      <w:pPr>
        <w:spacing w:after="60" w:line="360" w:lineRule="auto"/>
        <w:ind w:firstLine="413" w:firstLineChars="196"/>
        <w:rPr>
          <w:rFonts w:ascii="宋体" w:hAnsi="宋体"/>
          <w:b/>
        </w:rPr>
      </w:pPr>
    </w:p>
    <w:p>
      <w:pPr>
        <w:spacing w:after="60" w:line="360" w:lineRule="auto"/>
        <w:ind w:firstLine="411" w:firstLineChars="196"/>
        <w:rPr>
          <w:rFonts w:ascii="宋体" w:hAnsi="宋体"/>
        </w:rPr>
      </w:pPr>
      <w:r>
        <w:rPr>
          <w:rFonts w:hint="eastAsia" w:ascii="宋体" w:hAnsi="宋体"/>
        </w:rPr>
        <w:t>（3）工程类</w:t>
      </w:r>
    </w:p>
    <w:p>
      <w:pPr>
        <w:spacing w:after="60" w:line="360" w:lineRule="auto"/>
        <w:ind w:firstLine="411" w:firstLineChars="196"/>
        <w:rPr>
          <w:rFonts w:ascii="宋体" w:hAnsi="宋体"/>
        </w:rPr>
      </w:pPr>
      <w:r>
        <w:rPr>
          <w:rFonts w:ascii="宋体" w:hAnsi="宋体"/>
        </w:rPr>
        <w:drawing>
          <wp:inline distT="0" distB="0" distL="0" distR="0">
            <wp:extent cx="5236210" cy="3551555"/>
            <wp:effectExtent l="19050" t="0" r="2540" b="0"/>
            <wp:docPr id="7"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true" noChangeArrowheads="true"/>
                    </pic:cNvPicPr>
                  </pic:nvPicPr>
                  <pic:blipFill>
                    <a:blip r:embed="rId10"/>
                    <a:srcRect/>
                    <a:stretch>
                      <a:fillRect/>
                    </a:stretch>
                  </pic:blipFill>
                  <pic:spPr>
                    <a:xfrm>
                      <a:off x="0" y="0"/>
                      <a:ext cx="5236210" cy="3551555"/>
                    </a:xfrm>
                    <a:prstGeom prst="rect">
                      <a:avLst/>
                    </a:prstGeom>
                    <a:noFill/>
                    <a:ln w="9525">
                      <a:noFill/>
                      <a:miter lim="800000"/>
                      <a:headEnd/>
                      <a:tailEnd/>
                    </a:ln>
                  </pic:spPr>
                </pic:pic>
              </a:graphicData>
            </a:graphic>
          </wp:inline>
        </w:drawing>
      </w:r>
    </w:p>
    <w:p>
      <w:pPr>
        <w:spacing w:after="60" w:line="360" w:lineRule="auto"/>
        <w:ind w:firstLine="413" w:firstLineChars="196"/>
        <w:rPr>
          <w:rFonts w:ascii="宋体" w:hAnsi="宋体"/>
          <w:b/>
          <w:color w:val="FF0000"/>
        </w:rPr>
      </w:pPr>
    </w:p>
    <w:p>
      <w:pPr>
        <w:spacing w:after="60" w:line="360" w:lineRule="auto"/>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在投标文件目录中属于本节点内容的必须在本节点中填写，填写到其他节点或附件，一切后果由供应商自行承担。</w:t>
      </w:r>
    </w:p>
    <w:p>
      <w:pPr>
        <w:spacing w:after="60" w:line="360" w:lineRule="auto"/>
        <w:ind w:firstLine="411" w:firstLineChars="196"/>
        <w:rPr>
          <w:rFonts w:ascii="宋体" w:hAnsi="宋体"/>
          <w:b/>
        </w:rPr>
      </w:pPr>
      <w:r>
        <w:rPr>
          <w:rFonts w:hint="eastAsia" w:ascii="宋体" w:hAnsi="宋体"/>
        </w:rPr>
        <w:t>23.2.7投标书编写完成后，</w:t>
      </w:r>
      <w:r>
        <w:rPr>
          <w:rFonts w:hint="eastAsia" w:ascii="宋体" w:hAnsi="宋体"/>
          <w:b/>
        </w:rPr>
        <w:t>必须用属于投标人的电子密钥进行加密，否则视同未盖公章，将导致投标文件无效。</w:t>
      </w:r>
    </w:p>
    <w:p>
      <w:pPr>
        <w:spacing w:after="60" w:line="360" w:lineRule="auto"/>
        <w:ind w:firstLine="411" w:firstLineChars="196"/>
        <w:rPr>
          <w:rFonts w:ascii="宋体" w:hAnsi="宋体"/>
          <w:b/>
        </w:rPr>
      </w:pPr>
      <w:r>
        <w:rPr>
          <w:rFonts w:hint="eastAsia" w:ascii="宋体" w:hAnsi="宋体"/>
        </w:rPr>
        <w:t>23.2.8</w:t>
      </w:r>
      <w:r>
        <w:rPr>
          <w:rFonts w:hint="eastAsia" w:ascii="宋体" w:hAnsi="宋体"/>
          <w:szCs w:val="21"/>
        </w:rPr>
        <w:t>投标人在使用《投标书编制软件》过程中遇到无法正常编辑或生成投标文件时，请及时咨询中采信息技术有限公司，否则由此产生的问题由投标人负责。</w:t>
      </w:r>
    </w:p>
    <w:p>
      <w:pPr>
        <w:spacing w:after="60" w:line="360" w:lineRule="auto"/>
        <w:ind w:firstLine="411" w:firstLineChars="196"/>
        <w:rPr>
          <w:rFonts w:ascii="宋体" w:hAnsi="宋体"/>
        </w:rPr>
      </w:pPr>
      <w:r>
        <w:rPr>
          <w:rFonts w:hint="eastAsia" w:ascii="宋体" w:hAnsi="宋体"/>
        </w:rPr>
        <w:t>23.2.9</w:t>
      </w:r>
      <w:r>
        <w:rPr>
          <w:rFonts w:hint="eastAsia" w:ascii="宋体" w:hAnsi="宋体"/>
          <w:szCs w:val="21"/>
        </w:rPr>
        <w:t>采购实施机构不接受投标截止时间后递交的纸质、电子、传真等所有形式的投标文件。由于对网上招投标操作不熟悉或自身电脑、网络的原因导致不能在投标截止时间之前上传投标文件，采购实施机构不负任何责任。建议于开标前一个工作日完成投标文件的制作与上传，如果上传有困难，请及时咨询中采信息技术有限公司，联系电话：</w:t>
      </w:r>
      <w:r>
        <w:rPr>
          <w:rFonts w:ascii="宋体" w:hAnsi="宋体"/>
          <w:szCs w:val="21"/>
        </w:rPr>
        <w:t>0755-27758326</w:t>
      </w:r>
      <w:r>
        <w:rPr>
          <w:rFonts w:hint="eastAsia" w:ascii="宋体" w:hAnsi="宋体"/>
        </w:rPr>
        <w:t>。</w:t>
      </w:r>
    </w:p>
    <w:p>
      <w:pPr>
        <w:spacing w:after="60" w:line="360" w:lineRule="auto"/>
        <w:ind w:firstLine="411" w:firstLineChars="196"/>
        <w:rPr>
          <w:rFonts w:ascii="宋体" w:hAnsi="宋体"/>
        </w:rPr>
      </w:pPr>
      <w:r>
        <w:rPr>
          <w:rFonts w:hint="eastAsia" w:ascii="宋体" w:hAnsi="宋体"/>
        </w:rPr>
        <w:t>23.2.10如果开标时出现网络故障、技术故障，影响了招投标活动，</w:t>
      </w:r>
      <w:r>
        <w:rPr>
          <w:rFonts w:hint="eastAsia" w:ascii="宋体" w:hAnsi="宋体"/>
          <w:szCs w:val="21"/>
        </w:rPr>
        <w:t>采购实施机构</w:t>
      </w:r>
      <w:r>
        <w:rPr>
          <w:rFonts w:hint="eastAsia" w:ascii="宋体" w:hAnsi="宋体"/>
        </w:rPr>
        <w:t>有权采取措施如延期、接受无法从网上上传的投标书等，以保障招投标活动的公开、公平和公正。</w:t>
      </w:r>
    </w:p>
    <w:p>
      <w:pPr>
        <w:spacing w:after="60" w:line="360" w:lineRule="auto"/>
        <w:ind w:firstLine="411" w:firstLineChars="196"/>
        <w:rPr>
          <w:rFonts w:ascii="宋体" w:hAnsi="宋体"/>
        </w:rPr>
      </w:pPr>
      <w:r>
        <w:rPr>
          <w:rFonts w:hint="eastAsia" w:ascii="宋体" w:hAnsi="宋体"/>
        </w:rPr>
        <w:t>23.3电报、电话、传真形式的投标概不接受。</w:t>
      </w:r>
    </w:p>
    <w:p>
      <w:pPr>
        <w:spacing w:after="60" w:line="360" w:lineRule="auto"/>
        <w:ind w:firstLine="413" w:firstLineChars="196"/>
        <w:rPr>
          <w:rFonts w:ascii="宋体" w:hAnsi="宋体"/>
          <w:b/>
        </w:rPr>
      </w:pPr>
      <w:r>
        <w:rPr>
          <w:rFonts w:hint="eastAsia" w:ascii="宋体" w:hAnsi="宋体"/>
          <w:b/>
        </w:rPr>
        <w:t>23.4经投标人电子密钥加密的投标文件无须盖章或签字，</w:t>
      </w:r>
      <w:r>
        <w:rPr>
          <w:rFonts w:hint="eastAsia" w:ascii="宋体" w:hAnsi="宋体"/>
        </w:rPr>
        <w:t>专用条款另有要求的除外。</w:t>
      </w:r>
    </w:p>
    <w:p>
      <w:pPr>
        <w:spacing w:after="60" w:line="360" w:lineRule="auto"/>
        <w:ind w:firstLine="411" w:firstLineChars="196"/>
        <w:rPr>
          <w:rFonts w:ascii="宋体" w:hAnsi="宋体"/>
        </w:rPr>
      </w:pPr>
      <w:r>
        <w:rPr>
          <w:rFonts w:hint="eastAsia" w:ascii="宋体" w:hAnsi="宋体"/>
        </w:rPr>
        <w:t>23.5 资格证明文件提供扫描件，专用条款另有要求的除外。</w:t>
      </w:r>
    </w:p>
    <w:p>
      <w:pPr>
        <w:spacing w:after="60" w:line="360" w:lineRule="auto"/>
        <w:ind w:firstLine="413" w:firstLineChars="196"/>
        <w:rPr>
          <w:rFonts w:ascii="宋体" w:hAnsi="宋体"/>
          <w:b/>
        </w:rPr>
      </w:pPr>
      <w:r>
        <w:rPr>
          <w:rFonts w:hint="eastAsia" w:ascii="宋体" w:hAnsi="宋体"/>
          <w:b/>
        </w:rPr>
        <w:t>23.6警示条款</w:t>
      </w:r>
    </w:p>
    <w:p>
      <w:pPr>
        <w:autoSpaceDE w:val="0"/>
        <w:autoSpaceDN w:val="0"/>
        <w:adjustRightInd w:val="0"/>
        <w:spacing w:after="60" w:line="360" w:lineRule="auto"/>
        <w:ind w:firstLine="421" w:firstLineChars="200"/>
        <w:jc w:val="left"/>
        <w:rPr>
          <w:rFonts w:ascii="宋体" w:hAnsi="宋体" w:cs="宋体"/>
          <w:b/>
          <w:kern w:val="0"/>
          <w:szCs w:val="21"/>
        </w:rPr>
      </w:pPr>
      <w:r>
        <w:rPr>
          <w:rFonts w:hint="eastAsia" w:ascii="宋体" w:hAnsi="宋体" w:cs="宋体"/>
          <w:b/>
          <w:kern w:val="0"/>
          <w:szCs w:val="21"/>
        </w:rPr>
        <w:t>各投标人：</w:t>
      </w:r>
    </w:p>
    <w:p>
      <w:pPr>
        <w:autoSpaceDE w:val="0"/>
        <w:autoSpaceDN w:val="0"/>
        <w:adjustRightInd w:val="0"/>
        <w:spacing w:after="60" w:line="360" w:lineRule="auto"/>
        <w:ind w:firstLine="421" w:firstLineChars="200"/>
        <w:jc w:val="left"/>
        <w:rPr>
          <w:rFonts w:ascii="宋体" w:hAnsi="宋体" w:cs="宋体"/>
          <w:b/>
          <w:kern w:val="0"/>
          <w:szCs w:val="21"/>
        </w:rPr>
      </w:pPr>
      <w:r>
        <w:rPr>
          <w:rFonts w:hint="eastAsia" w:ascii="宋体" w:hAnsi="宋体" w:cs="宋体"/>
          <w:b/>
          <w:kern w:val="0"/>
          <w:szCs w:val="21"/>
        </w:rPr>
        <w:t>根据《中华人民共和国政府采购法》及《深圳经济特区政府采购条例》有关规定，为增强各投标人诚信守法、公平竞争意识，规范各投标人投标行为，有效遏制投标人在政府采购活动中的串标围标、造假等不诚信行为，促进我市政府采购市场诚信体系建设，确保我区政府采购工作公开、公平和公正，采购实施机构将依法依规对如下投标信息予以公示，望各投标人给予配合，履行好自身的权益和义务。</w:t>
      </w:r>
    </w:p>
    <w:p>
      <w:pPr>
        <w:autoSpaceDE w:val="0"/>
        <w:autoSpaceDN w:val="0"/>
        <w:adjustRightInd w:val="0"/>
        <w:spacing w:after="60" w:line="360" w:lineRule="auto"/>
        <w:ind w:firstLine="421" w:firstLineChars="200"/>
        <w:jc w:val="left"/>
        <w:rPr>
          <w:rFonts w:ascii="宋体" w:hAnsi="宋体" w:cs="宋体"/>
          <w:b/>
          <w:kern w:val="0"/>
          <w:szCs w:val="21"/>
        </w:rPr>
      </w:pPr>
      <w:r>
        <w:rPr>
          <w:rFonts w:hint="eastAsia" w:ascii="宋体" w:hAnsi="宋体" w:cs="宋体"/>
          <w:b/>
          <w:kern w:val="0"/>
          <w:szCs w:val="21"/>
        </w:rPr>
        <w:t>23.6.1 公示的内容。投标书、投标一览表、服务条款偏离表、投标人情况介绍、设备</w:t>
      </w:r>
      <w:r>
        <w:rPr>
          <w:rFonts w:ascii="宋体" w:hAnsi="宋体" w:cs="宋体"/>
          <w:b/>
          <w:kern w:val="0"/>
          <w:szCs w:val="21"/>
        </w:rPr>
        <w:t>/</w:t>
      </w:r>
      <w:r>
        <w:rPr>
          <w:rFonts w:hint="eastAsia" w:ascii="宋体" w:hAnsi="宋体" w:cs="宋体"/>
          <w:b/>
          <w:kern w:val="0"/>
          <w:szCs w:val="21"/>
        </w:rPr>
        <w:t>装备</w:t>
      </w:r>
      <w:r>
        <w:rPr>
          <w:rFonts w:ascii="宋体" w:hAnsi="宋体" w:cs="宋体"/>
          <w:b/>
          <w:kern w:val="0"/>
          <w:szCs w:val="21"/>
        </w:rPr>
        <w:t>/</w:t>
      </w:r>
      <w:r>
        <w:rPr>
          <w:rFonts w:hint="eastAsia" w:ascii="宋体" w:hAnsi="宋体" w:cs="宋体"/>
          <w:b/>
          <w:kern w:val="0"/>
          <w:szCs w:val="21"/>
        </w:rPr>
        <w:t>工具配置列表、投标企业经验情况、项目经理情况、关于资格的声明函、关于无重大违法记录声明函、信用承诺书、招标文件要求的其它内容或投标人认为需要补充的商务和技术资料（以招标公告、评标信息及</w:t>
      </w:r>
      <w:r>
        <w:rPr>
          <w:rFonts w:hint="eastAsia" w:ascii="宋体" w:cs="宋体"/>
          <w:b/>
          <w:kern w:val="0"/>
          <w:szCs w:val="21"/>
        </w:rPr>
        <w:t>“</w:t>
      </w:r>
      <w:r>
        <w:rPr>
          <w:rFonts w:hint="eastAsia" w:ascii="宋体" w:hAnsi="宋体" w:cs="宋体"/>
          <w:b/>
          <w:kern w:val="0"/>
          <w:szCs w:val="21"/>
        </w:rPr>
        <w:t>投标文件正文</w:t>
      </w:r>
      <w:r>
        <w:rPr>
          <w:rFonts w:hint="eastAsia" w:ascii="宋体" w:cs="宋体"/>
          <w:b/>
          <w:kern w:val="0"/>
          <w:szCs w:val="21"/>
        </w:rPr>
        <w:t>”</w:t>
      </w:r>
      <w:r>
        <w:rPr>
          <w:rFonts w:hint="eastAsia" w:ascii="宋体" w:hAnsi="宋体" w:cs="宋体"/>
          <w:b/>
          <w:kern w:val="0"/>
          <w:szCs w:val="21"/>
        </w:rPr>
        <w:t>中涉及的内容为准）。</w:t>
      </w:r>
    </w:p>
    <w:p>
      <w:pPr>
        <w:autoSpaceDE w:val="0"/>
        <w:autoSpaceDN w:val="0"/>
        <w:adjustRightInd w:val="0"/>
        <w:spacing w:after="60" w:line="360" w:lineRule="auto"/>
        <w:ind w:firstLine="421" w:firstLineChars="200"/>
        <w:jc w:val="left"/>
        <w:rPr>
          <w:rFonts w:ascii="宋体" w:cs="宋体"/>
          <w:b/>
          <w:kern w:val="0"/>
          <w:szCs w:val="21"/>
        </w:rPr>
      </w:pPr>
      <w:r>
        <w:rPr>
          <w:rFonts w:hint="eastAsia" w:ascii="宋体" w:hAnsi="宋体" w:cs="宋体"/>
          <w:b/>
          <w:kern w:val="0"/>
          <w:szCs w:val="21"/>
        </w:rPr>
        <w:t>23.6.2 公示时间。从</w:t>
      </w:r>
      <w:r>
        <w:rPr>
          <w:rFonts w:ascii="宋体" w:hAnsi="宋体" w:cs="宋体"/>
          <w:b/>
          <w:kern w:val="0"/>
          <w:szCs w:val="21"/>
        </w:rPr>
        <w:t>2018</w:t>
      </w:r>
      <w:r>
        <w:rPr>
          <w:rFonts w:hint="eastAsia" w:ascii="宋体" w:hAnsi="宋体" w:cs="宋体"/>
          <w:b/>
          <w:kern w:val="0"/>
          <w:szCs w:val="21"/>
        </w:rPr>
        <w:t>年</w:t>
      </w:r>
      <w:r>
        <w:rPr>
          <w:rFonts w:ascii="宋体" w:hAnsi="宋体" w:cs="宋体"/>
          <w:b/>
          <w:kern w:val="0"/>
          <w:szCs w:val="21"/>
        </w:rPr>
        <w:t>3</w:t>
      </w:r>
      <w:r>
        <w:rPr>
          <w:rFonts w:hint="eastAsia" w:ascii="宋体" w:hAnsi="宋体" w:cs="宋体"/>
          <w:b/>
          <w:kern w:val="0"/>
          <w:szCs w:val="21"/>
        </w:rPr>
        <w:t>月</w:t>
      </w:r>
      <w:r>
        <w:rPr>
          <w:rFonts w:ascii="宋体" w:hAnsi="宋体" w:cs="宋体"/>
          <w:b/>
          <w:kern w:val="0"/>
          <w:szCs w:val="21"/>
        </w:rPr>
        <w:t>1</w:t>
      </w:r>
      <w:r>
        <w:rPr>
          <w:rFonts w:hint="eastAsia" w:ascii="宋体" w:hAnsi="宋体" w:cs="宋体"/>
          <w:b/>
          <w:kern w:val="0"/>
          <w:szCs w:val="21"/>
        </w:rPr>
        <w:t>日起，所有新公告的政府采购项目的投标人投标文件都进行公示。公示时间为中标结果公布环节。当发布中标结果时，同时向社会公布参加该政府采购项目的投标人（包括中标和未中标投标人）的投标文件。对公开招标失败项目的投标文件不予公开；对未使用最新加密规则或携带病毒等原因导致投标无效的投标文件不予公开。</w:t>
      </w:r>
    </w:p>
    <w:p>
      <w:pPr>
        <w:autoSpaceDE w:val="0"/>
        <w:autoSpaceDN w:val="0"/>
        <w:adjustRightInd w:val="0"/>
        <w:spacing w:after="60" w:line="360" w:lineRule="auto"/>
        <w:ind w:firstLine="421" w:firstLineChars="200"/>
        <w:jc w:val="left"/>
        <w:rPr>
          <w:b/>
          <w:szCs w:val="21"/>
        </w:rPr>
      </w:pPr>
      <w:r>
        <w:rPr>
          <w:rFonts w:hint="eastAsia" w:ascii="宋体" w:hAnsi="宋体"/>
          <w:b/>
          <w:bCs/>
          <w:szCs w:val="21"/>
        </w:rPr>
        <w:t>23.7</w:t>
      </w:r>
      <w:r>
        <w:rPr>
          <w:rFonts w:hint="eastAsia"/>
          <w:b/>
          <w:szCs w:val="21"/>
        </w:rPr>
        <w:t>特别提醒</w:t>
      </w:r>
    </w:p>
    <w:p>
      <w:pPr>
        <w:spacing w:after="60" w:line="360" w:lineRule="auto"/>
        <w:ind w:firstLine="413" w:firstLineChars="196"/>
        <w:rPr>
          <w:b/>
          <w:szCs w:val="21"/>
        </w:rPr>
      </w:pPr>
      <w:r>
        <w:rPr>
          <w:rFonts w:hint="eastAsia"/>
          <w:b/>
          <w:szCs w:val="21"/>
        </w:rPr>
        <w:t>投标文件正文将对外公开，投标文件附件不公开。投标人在使用投标书编制软件编制投标文件时，信息公开部分必须编制于“投标书目录”，非信息公开部分编制于“投标书附件”，如下图所示：</w:t>
      </w:r>
    </w:p>
    <w:p>
      <w:pPr>
        <w:spacing w:after="60" w:line="360" w:lineRule="auto"/>
        <w:ind w:firstLine="413" w:firstLineChars="196"/>
        <w:jc w:val="center"/>
        <w:rPr>
          <w:b/>
          <w:szCs w:val="21"/>
        </w:rPr>
      </w:pPr>
    </w:p>
    <w:p>
      <w:pPr>
        <w:spacing w:after="60" w:line="360" w:lineRule="auto"/>
        <w:ind w:firstLine="413" w:firstLineChars="196"/>
        <w:jc w:val="center"/>
        <w:rPr>
          <w:b/>
          <w:szCs w:val="21"/>
        </w:rPr>
      </w:pPr>
      <w:r>
        <w:rPr>
          <w:rFonts w:hint="eastAsia"/>
          <w:b/>
          <w:szCs w:val="21"/>
        </w:rPr>
        <w:drawing>
          <wp:inline distT="0" distB="0" distL="0" distR="0">
            <wp:extent cx="5274310" cy="4190365"/>
            <wp:effectExtent l="19050" t="0" r="2540" b="0"/>
            <wp:docPr id="8"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true" noChangeArrowheads="true"/>
                    </pic:cNvPicPr>
                  </pic:nvPicPr>
                  <pic:blipFill>
                    <a:blip r:embed="rId11"/>
                    <a:srcRect/>
                    <a:stretch>
                      <a:fillRect/>
                    </a:stretch>
                  </pic:blipFill>
                  <pic:spPr>
                    <a:xfrm>
                      <a:off x="0" y="0"/>
                      <a:ext cx="5274310" cy="4190644"/>
                    </a:xfrm>
                    <a:prstGeom prst="rect">
                      <a:avLst/>
                    </a:prstGeom>
                    <a:noFill/>
                    <a:ln w="9525">
                      <a:noFill/>
                      <a:miter lim="800000"/>
                      <a:headEnd/>
                      <a:tailEnd/>
                    </a:ln>
                  </pic:spPr>
                </pic:pic>
              </a:graphicData>
            </a:graphic>
          </wp:inline>
        </w:drawing>
      </w:r>
    </w:p>
    <w:p>
      <w:pPr>
        <w:pStyle w:val="67"/>
        <w:spacing w:after="78" w:line="360" w:lineRule="auto"/>
        <w:ind w:firstLine="421" w:firstLineChars="200"/>
        <w:rPr>
          <w:b/>
          <w:color w:val="auto"/>
          <w:szCs w:val="21"/>
        </w:rPr>
      </w:pPr>
      <w:r>
        <w:rPr>
          <w:rFonts w:hint="eastAsia" w:ascii="宋体" w:hAnsi="Calibri" w:cs="宋体"/>
          <w:b/>
          <w:color w:val="auto"/>
          <w:sz w:val="21"/>
          <w:szCs w:val="21"/>
        </w:rPr>
        <w:t>（采购实施机构公布投标文件正文（信息公开部分）时为计算机截取信息公布，如投标人未按招标文件要求将需要公示的内容编制于“投标书目录”内，评审委员有权作投标无效处理；如投标人将非信息公开部分内容编制于“投标书目录”内，不会作无效投标处理，但一切后果由投标人自行承担。）</w:t>
      </w:r>
    </w:p>
    <w:p>
      <w:pPr>
        <w:spacing w:after="60" w:line="360" w:lineRule="auto"/>
        <w:ind w:firstLine="413" w:firstLineChars="196"/>
        <w:rPr>
          <w:b/>
          <w:szCs w:val="21"/>
        </w:rPr>
      </w:pPr>
      <w:r>
        <w:rPr>
          <w:rFonts w:hint="eastAsia" w:ascii="宋体" w:hAnsi="Calibri" w:cs="宋体"/>
          <w:b/>
          <w:szCs w:val="21"/>
        </w:rPr>
        <w:t>投标人对公示信息的质疑，按现规定和做法执行。望各投标人要珍惜本次投标机会，诚实、守信、依法、依规投标。</w:t>
      </w:r>
    </w:p>
    <w:p>
      <w:pPr>
        <w:spacing w:after="60" w:line="360" w:lineRule="auto"/>
        <w:ind w:firstLine="413" w:firstLineChars="196"/>
        <w:rPr>
          <w:b/>
          <w:szCs w:val="21"/>
        </w:rPr>
      </w:pPr>
    </w:p>
    <w:p>
      <w:pPr>
        <w:spacing w:after="60" w:line="360" w:lineRule="auto"/>
        <w:ind w:firstLine="411" w:firstLineChars="196"/>
        <w:rPr>
          <w:rFonts w:ascii="宋体" w:hAnsi="宋体"/>
        </w:rPr>
      </w:pPr>
    </w:p>
    <w:p>
      <w:pPr>
        <w:spacing w:after="60" w:line="360" w:lineRule="auto"/>
        <w:ind w:firstLine="411" w:firstLineChars="196"/>
        <w:rPr>
          <w:rFonts w:ascii="宋体" w:hAnsi="宋体"/>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第四章  投标文件的递交</w:t>
      </w:r>
    </w:p>
    <w:p>
      <w:pPr>
        <w:spacing w:after="60" w:line="360" w:lineRule="auto"/>
        <w:rPr>
          <w:rFonts w:ascii="黑体" w:hAnsi="宋体" w:eastAsia="黑体"/>
          <w:sz w:val="24"/>
        </w:rPr>
      </w:pPr>
      <w:r>
        <w:rPr>
          <w:rFonts w:hint="eastAsia" w:ascii="黑体" w:hAnsi="宋体" w:eastAsia="黑体"/>
          <w:sz w:val="24"/>
        </w:rPr>
        <w:t>24．投标书的保密</w:t>
      </w:r>
    </w:p>
    <w:p>
      <w:pPr>
        <w:spacing w:after="60" w:line="360" w:lineRule="auto"/>
        <w:ind w:firstLine="411" w:firstLineChars="196"/>
        <w:rPr>
          <w:rFonts w:ascii="宋体" w:hAnsi="宋体"/>
        </w:rPr>
      </w:pPr>
      <w:r>
        <w:rPr>
          <w:rFonts w:hint="eastAsia" w:ascii="宋体" w:hAnsi="宋体"/>
        </w:rPr>
        <w:t>24.1在投标文件制作完成后，在投标书编制软件点击“加密投标书”按钮进入加密界面，对投标书进行加密，也可单独使用“深圳政府标书加密软件”（一般是与投标书编制软件捆绑下载）进入加密界面进行加密，无需用其它加密方式。此加密程序确保投标文件在到达投标截止时间后才能解密查看。在加密过程中，请按照软件提示进行操作。加密界面如下图所示：</w:t>
      </w:r>
    </w:p>
    <w:p>
      <w:pPr>
        <w:widowControl/>
        <w:spacing w:after="60" w:line="360" w:lineRule="auto"/>
        <w:jc w:val="left"/>
        <w:rPr>
          <w:rFonts w:ascii="宋体" w:hAnsi="宋体" w:cs="宋体"/>
          <w:kern w:val="0"/>
          <w:sz w:val="24"/>
        </w:rPr>
      </w:pPr>
      <w:r>
        <w:rPr>
          <w:rFonts w:ascii="宋体" w:hAnsi="宋体" w:cs="宋体"/>
          <w:kern w:val="0"/>
          <w:sz w:val="24"/>
        </w:rPr>
        <w:drawing>
          <wp:inline distT="0" distB="0" distL="0" distR="0">
            <wp:extent cx="4995545" cy="3937000"/>
            <wp:effectExtent l="19050" t="0" r="0" b="0"/>
            <wp:docPr id="9" name="图片 1" descr="C:\Users\weixun\AppData\Local\Temp\WeChat Files\0f46208c35b849896d64636a0e3bb87.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 descr="C:\Users\weixun\AppData\Local\Temp\WeChat Files\0f46208c35b849896d64636a0e3bb87.jpg"/>
                    <pic:cNvPicPr>
                      <a:picLocks noChangeAspect="true" noChangeArrowheads="true"/>
                    </pic:cNvPicPr>
                  </pic:nvPicPr>
                  <pic:blipFill>
                    <a:blip r:embed="rId12"/>
                    <a:srcRect/>
                    <a:stretch>
                      <a:fillRect/>
                    </a:stretch>
                  </pic:blipFill>
                  <pic:spPr>
                    <a:xfrm>
                      <a:off x="0" y="0"/>
                      <a:ext cx="4995545" cy="3937000"/>
                    </a:xfrm>
                    <a:prstGeom prst="rect">
                      <a:avLst/>
                    </a:prstGeom>
                    <a:noFill/>
                    <a:ln w="9525">
                      <a:noFill/>
                      <a:miter lim="800000"/>
                      <a:headEnd/>
                      <a:tailEnd/>
                    </a:ln>
                  </pic:spPr>
                </pic:pic>
              </a:graphicData>
            </a:graphic>
          </wp:inline>
        </w:drawing>
      </w:r>
    </w:p>
    <w:p>
      <w:pPr>
        <w:spacing w:after="60" w:line="360" w:lineRule="auto"/>
        <w:rPr>
          <w:sz w:val="24"/>
        </w:rPr>
      </w:pPr>
    </w:p>
    <w:p>
      <w:pPr>
        <w:spacing w:after="60" w:line="360" w:lineRule="auto"/>
        <w:rPr>
          <w:sz w:val="24"/>
        </w:rPr>
      </w:pPr>
      <w:r>
        <w:rPr>
          <w:sz w:val="24"/>
        </w:rPr>
        <w:drawing>
          <wp:inline distT="0" distB="0" distL="0" distR="0">
            <wp:extent cx="4495165" cy="2175510"/>
            <wp:effectExtent l="19050" t="0" r="635" b="0"/>
            <wp:docPr id="10" name="图片 2" descr="C:\Users\weixun\AppData\Local\Temp\WeChat Files\17bf5d9a0536cc3e4cdd2781a40dd7f.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2" descr="C:\Users\weixun\AppData\Local\Temp\WeChat Files\17bf5d9a0536cc3e4cdd2781a40dd7f.jpg"/>
                    <pic:cNvPicPr>
                      <a:picLocks noChangeAspect="true" noChangeArrowheads="true"/>
                    </pic:cNvPicPr>
                  </pic:nvPicPr>
                  <pic:blipFill>
                    <a:blip r:embed="rId13"/>
                    <a:srcRect/>
                    <a:stretch>
                      <a:fillRect/>
                    </a:stretch>
                  </pic:blipFill>
                  <pic:spPr>
                    <a:xfrm>
                      <a:off x="0" y="0"/>
                      <a:ext cx="4495165" cy="2175510"/>
                    </a:xfrm>
                    <a:prstGeom prst="rect">
                      <a:avLst/>
                    </a:prstGeom>
                    <a:noFill/>
                    <a:ln w="9525">
                      <a:noFill/>
                      <a:miter lim="800000"/>
                      <a:headEnd/>
                      <a:tailEnd/>
                    </a:ln>
                  </pic:spPr>
                </pic:pic>
              </a:graphicData>
            </a:graphic>
          </wp:inline>
        </w:drawing>
      </w:r>
    </w:p>
    <w:p>
      <w:pPr>
        <w:spacing w:after="60" w:line="360" w:lineRule="auto"/>
        <w:rPr>
          <w:rFonts w:ascii="宋体" w:hAnsi="宋体"/>
          <w:b/>
        </w:rPr>
      </w:pPr>
      <w:r>
        <w:rPr>
          <w:rFonts w:hint="eastAsia" w:ascii="宋体" w:hAnsi="宋体"/>
        </w:rPr>
        <w:t xml:space="preserve">   </w:t>
      </w:r>
      <w:r>
        <w:rPr>
          <w:rFonts w:hint="eastAsia" w:ascii="宋体" w:hAnsi="宋体"/>
          <w:b/>
        </w:rPr>
        <w:t xml:space="preserve"> 24.2若采购项目出现延期情况：</w:t>
      </w:r>
    </w:p>
    <w:p>
      <w:pPr>
        <w:spacing w:after="60" w:line="360" w:lineRule="auto"/>
        <w:rPr>
          <w:rFonts w:ascii="黑体" w:hAnsi="宋体" w:eastAsia="黑体"/>
          <w:b/>
          <w:sz w:val="24"/>
        </w:rPr>
      </w:pPr>
      <w:r>
        <w:rPr>
          <w:rFonts w:hint="eastAsia" w:ascii="宋体" w:hAnsi="宋体"/>
          <w:b/>
        </w:rPr>
        <w:t>如果供下载的招标文件（后缀名为.ZBS）有更新，投标人必须重新下载招标文件、重新制作投标文件、重新加密投标文件、重新上传投标文件；如果供下载的招标文件（后缀名为.ZBS）没有更新，投标人必须重新加密投标文件、重新上传投标文件（是否重新制作投标文件根据项目实际情况定）。否则，投标人自行承担投标文件无法解密导致投标无效的后果。</w:t>
      </w:r>
    </w:p>
    <w:p>
      <w:pPr>
        <w:spacing w:after="60" w:line="360" w:lineRule="auto"/>
        <w:rPr>
          <w:rFonts w:ascii="黑体" w:hAnsi="宋体" w:eastAsia="黑体"/>
          <w:sz w:val="24"/>
        </w:rPr>
      </w:pPr>
      <w:r>
        <w:rPr>
          <w:rFonts w:hint="eastAsia" w:ascii="黑体" w:hAnsi="宋体" w:eastAsia="黑体"/>
          <w:sz w:val="24"/>
        </w:rPr>
        <w:t>25．投标截止日期</w:t>
      </w:r>
    </w:p>
    <w:p>
      <w:pPr>
        <w:spacing w:after="60" w:line="360" w:lineRule="auto"/>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Theme="minorEastAsia" w:hAnsiTheme="minorEastAsia" w:eastAsiaTheme="minorEastAsia"/>
        </w:rPr>
        <w:t>“深圳公共资源交易中心深圳交易集团有限公司政府采购业务分公司网（</w:t>
      </w:r>
      <w:r>
        <w:rPr>
          <w:rFonts w:asciiTheme="minorEastAsia" w:hAnsiTheme="minorEastAsia" w:eastAsiaTheme="minorEastAsia"/>
        </w:rPr>
        <w:t>http://www.szzfcg.cn/</w:t>
      </w:r>
      <w:r>
        <w:rPr>
          <w:rFonts w:hint="eastAsia" w:asciiTheme="minorEastAsia" w:hAnsiTheme="minorEastAsia" w:eastAsiaTheme="minorEastAsia"/>
        </w:rPr>
        <w:t>）代理机构系统”</w:t>
      </w:r>
      <w:r>
        <w:rPr>
          <w:rFonts w:hint="eastAsia" w:ascii="宋体" w:hAnsi="宋体"/>
        </w:rPr>
        <w:t>，使用“应标管理”</w:t>
      </w:r>
      <w:r>
        <w:rPr>
          <w:rFonts w:ascii="宋体" w:hAnsi="宋体"/>
        </w:rPr>
        <w:t>—</w:t>
      </w:r>
      <w:r>
        <w:rPr>
          <w:rFonts w:hint="eastAsia" w:ascii="宋体" w:hAnsi="宋体"/>
        </w:rPr>
        <w:t>》“上传投标文件”功能点上传投标文件。如果没有该功能点，请用本公司的机构管理员在 “系统维护”</w:t>
      </w:r>
      <w:r>
        <w:rPr>
          <w:rFonts w:ascii="宋体" w:hAnsi="宋体"/>
        </w:rPr>
        <w:t>—</w:t>
      </w:r>
      <w:r>
        <w:rPr>
          <w:rFonts w:hint="eastAsia" w:ascii="宋体" w:hAnsi="宋体"/>
        </w:rPr>
        <w:t>》“修改用户权限”中增加该功能点，如果增加不成功，请在工作日与深圳公共资源交易中心联系。如果确有困难，多次上传均告失败，请在投标截止时间之前携带加密后的电子投标文件送达至深圳市采购中心501政府采购技术支持服务室。采购实施机构</w:t>
      </w:r>
      <w:r>
        <w:rPr>
          <w:rFonts w:hint="eastAsia" w:asciiTheme="minorEastAsia" w:hAnsiTheme="minorEastAsia" w:eastAsiaTheme="minorEastAsia"/>
        </w:rPr>
        <w:t>不接收网下递交的投标文件。</w:t>
      </w:r>
    </w:p>
    <w:p>
      <w:pPr>
        <w:spacing w:after="60" w:line="360" w:lineRule="auto"/>
        <w:ind w:firstLine="411" w:firstLineChars="196"/>
        <w:rPr>
          <w:rFonts w:asciiTheme="minorEastAsia" w:hAnsiTheme="minorEastAsia" w:eastAsiaTheme="minorEastAsia"/>
          <w:bCs/>
        </w:rPr>
      </w:pPr>
      <w:r>
        <w:rPr>
          <w:rFonts w:hint="eastAsia" w:ascii="宋体" w:hAnsi="宋体"/>
        </w:rPr>
        <w:t>25.2</w:t>
      </w:r>
      <w:r>
        <w:rPr>
          <w:rFonts w:hint="eastAsia" w:ascii="宋体" w:hAnsi="宋体"/>
          <w:szCs w:val="21"/>
        </w:rPr>
        <w:t>采购实施机构</w:t>
      </w:r>
      <w:r>
        <w:rPr>
          <w:rFonts w:hint="eastAsia" w:ascii="宋体" w:hAnsi="宋体"/>
        </w:rPr>
        <w:t>可以按本通用条款第13条规定，通过修改招标文件自行决定酌情延长投标截止期。在此情况下，</w:t>
      </w:r>
      <w:r>
        <w:rPr>
          <w:rFonts w:hint="eastAsia" w:ascii="宋体" w:hAnsi="宋体"/>
          <w:szCs w:val="21"/>
        </w:rPr>
        <w:t>采购实施机构</w:t>
      </w:r>
      <w:r>
        <w:rPr>
          <w:rFonts w:hint="eastAsia" w:ascii="宋体" w:hAnsi="宋体"/>
        </w:rPr>
        <w:t>、采购人和投标人受投标截止期制约的所有权利和义务均应延长至新的截止期。</w:t>
      </w:r>
      <w:r>
        <w:rPr>
          <w:rFonts w:hint="eastAsia" w:asciiTheme="minorEastAsia" w:hAnsiTheme="minorEastAsia" w:eastAsiaTheme="minorEastAsia"/>
          <w:bCs/>
        </w:rPr>
        <w:t>在项目延期后，出于投标文件的保密考虑，建议投标人重新加密投标文件，重新上传。</w:t>
      </w:r>
    </w:p>
    <w:p>
      <w:pPr>
        <w:spacing w:after="60" w:line="360" w:lineRule="auto"/>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spacing w:after="60" w:line="360" w:lineRule="auto"/>
        <w:rPr>
          <w:rFonts w:ascii="黑体" w:hAnsi="宋体" w:eastAsia="黑体"/>
          <w:sz w:val="24"/>
        </w:rPr>
      </w:pPr>
      <w:r>
        <w:rPr>
          <w:rFonts w:hint="eastAsia" w:ascii="黑体" w:hAnsi="宋体" w:eastAsia="黑体"/>
          <w:sz w:val="24"/>
        </w:rPr>
        <w:t>26. 样品的递交</w:t>
      </w:r>
    </w:p>
    <w:p>
      <w:pPr>
        <w:spacing w:after="60" w:line="360" w:lineRule="auto"/>
        <w:rPr>
          <w:rFonts w:ascii="宋体" w:hAnsi="宋体"/>
          <w:szCs w:val="21"/>
        </w:rPr>
      </w:pPr>
      <w:r>
        <w:rPr>
          <w:rFonts w:hint="eastAsia" w:ascii="宋体" w:hAnsi="宋体"/>
          <w:szCs w:val="21"/>
        </w:rPr>
        <w:t xml:space="preserve">    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专用条款相关内容。</w:t>
      </w:r>
    </w:p>
    <w:p>
      <w:pPr>
        <w:spacing w:after="60" w:line="360" w:lineRule="auto"/>
        <w:ind w:firstLine="420"/>
        <w:rPr>
          <w:rFonts w:ascii="宋体" w:hAnsi="宋体" w:cs="宋体"/>
          <w:kern w:val="0"/>
          <w:szCs w:val="18"/>
        </w:rPr>
      </w:pPr>
      <w:r>
        <w:rPr>
          <w:rFonts w:hint="eastAsia" w:ascii="宋体" w:hAnsi="宋体"/>
          <w:szCs w:val="21"/>
        </w:rPr>
        <w:t>26.2</w:t>
      </w:r>
      <w:r>
        <w:rPr>
          <w:rFonts w:hint="eastAsia" w:ascii="宋体" w:hAnsi="宋体" w:cs="宋体"/>
          <w:kern w:val="0"/>
          <w:szCs w:val="18"/>
        </w:rPr>
        <w:t>投标样品上必须标注“项目名称及项目编号、样品编号、样品名称”等信息，但</w:t>
      </w:r>
      <w:r>
        <w:rPr>
          <w:rFonts w:ascii="宋体" w:hAnsi="宋体" w:cs="宋体"/>
          <w:kern w:val="0"/>
          <w:szCs w:val="18"/>
        </w:rPr>
        <w:t>不</w:t>
      </w:r>
      <w:r>
        <w:rPr>
          <w:rFonts w:hint="eastAsia" w:ascii="宋体" w:hAnsi="宋体" w:cs="宋体"/>
          <w:kern w:val="0"/>
          <w:szCs w:val="18"/>
        </w:rPr>
        <w:t>得显示指向</w:t>
      </w:r>
      <w:r>
        <w:rPr>
          <w:rFonts w:ascii="宋体" w:hAnsi="宋体" w:cs="宋体"/>
          <w:kern w:val="0"/>
          <w:szCs w:val="18"/>
        </w:rPr>
        <w:t>任何</w:t>
      </w:r>
      <w:r>
        <w:rPr>
          <w:rFonts w:hint="eastAsia" w:ascii="宋体" w:hAnsi="宋体" w:cs="宋体"/>
          <w:kern w:val="0"/>
          <w:szCs w:val="18"/>
        </w:rPr>
        <w:t>投标供应商的信息、</w:t>
      </w:r>
      <w:r>
        <w:rPr>
          <w:rFonts w:ascii="宋体" w:hAnsi="宋体" w:cs="宋体"/>
          <w:kern w:val="0"/>
          <w:szCs w:val="18"/>
        </w:rPr>
        <w:t>生产厂家</w:t>
      </w:r>
      <w:r>
        <w:rPr>
          <w:rFonts w:hint="eastAsia" w:ascii="宋体" w:hAnsi="宋体" w:cs="宋体"/>
          <w:kern w:val="0"/>
          <w:szCs w:val="18"/>
        </w:rPr>
        <w:t>的</w:t>
      </w:r>
      <w:r>
        <w:rPr>
          <w:rFonts w:ascii="宋体" w:hAnsi="宋体" w:cs="宋体"/>
          <w:kern w:val="0"/>
          <w:szCs w:val="18"/>
        </w:rPr>
        <w:t>商标，或者</w:t>
      </w:r>
      <w:r>
        <w:rPr>
          <w:rFonts w:hint="eastAsia" w:ascii="宋体" w:hAnsi="宋体" w:cs="宋体"/>
          <w:kern w:val="0"/>
          <w:szCs w:val="18"/>
        </w:rPr>
        <w:t>其他</w:t>
      </w:r>
      <w:r>
        <w:rPr>
          <w:rFonts w:ascii="宋体" w:hAnsi="宋体" w:cs="宋体"/>
          <w:kern w:val="0"/>
          <w:szCs w:val="18"/>
        </w:rPr>
        <w:t>的标记标识</w:t>
      </w:r>
      <w:r>
        <w:rPr>
          <w:rFonts w:hint="eastAsia" w:ascii="宋体" w:hAnsi="宋体" w:cs="宋体"/>
          <w:kern w:val="0"/>
          <w:szCs w:val="18"/>
        </w:rPr>
        <w:t>。需要安装的投标样品必须为安装完整的成品，由投标供应商自行组织安装。（以专用条款约定为准）</w:t>
      </w:r>
    </w:p>
    <w:p>
      <w:pPr>
        <w:spacing w:after="60" w:line="360" w:lineRule="auto"/>
        <w:ind w:firstLine="420" w:firstLineChars="200"/>
        <w:rPr>
          <w:rFonts w:ascii="宋体" w:hAnsi="宋体" w:cs="宋体"/>
          <w:kern w:val="0"/>
          <w:szCs w:val="18"/>
        </w:rPr>
      </w:pPr>
      <w:r>
        <w:rPr>
          <w:rFonts w:hint="eastAsia" w:ascii="宋体" w:hAnsi="宋体"/>
          <w:szCs w:val="21"/>
        </w:rPr>
        <w:t>26.2.1</w:t>
      </w:r>
      <w:r>
        <w:rPr>
          <w:rFonts w:hint="eastAsia" w:ascii="宋体" w:hAnsi="宋体" w:cs="宋体"/>
          <w:kern w:val="0"/>
          <w:szCs w:val="18"/>
        </w:rPr>
        <w:t>样品递交签到（以专用条款约定为准）：</w:t>
      </w:r>
    </w:p>
    <w:p>
      <w:pPr>
        <w:spacing w:after="60" w:line="360" w:lineRule="auto"/>
        <w:ind w:firstLine="420" w:firstLineChars="200"/>
        <w:rPr>
          <w:bCs/>
          <w:szCs w:val="21"/>
        </w:rPr>
      </w:pPr>
      <w:r>
        <w:rPr>
          <w:rFonts w:hint="eastAsia"/>
          <w:bCs/>
          <w:szCs w:val="21"/>
        </w:rPr>
        <w:t>投标供应商授权人需在本项目投标截止时间前，提供法定代表人证明书（盖公章）、法定代表人授权委托书（盖公章）、授权委托人身份证原件和复印件、样品清单（加盖公章），到</w:t>
      </w:r>
      <w:r>
        <w:rPr>
          <w:rFonts w:hint="eastAsia" w:ascii="宋体" w:hAnsi="宋体"/>
          <w:szCs w:val="21"/>
        </w:rPr>
        <w:t>采购实施机构</w:t>
      </w:r>
      <w:r>
        <w:rPr>
          <w:rFonts w:hint="eastAsia"/>
          <w:bCs/>
          <w:szCs w:val="21"/>
        </w:rPr>
        <w:t>，按工作人员指引进行样品递交签到。</w:t>
      </w:r>
    </w:p>
    <w:p>
      <w:pPr>
        <w:spacing w:after="60" w:line="360" w:lineRule="auto"/>
        <w:ind w:firstLine="420" w:firstLineChars="200"/>
        <w:rPr>
          <w:bCs/>
          <w:szCs w:val="21"/>
        </w:rPr>
      </w:pPr>
      <w:r>
        <w:rPr>
          <w:rFonts w:hint="eastAsia"/>
          <w:bCs/>
          <w:szCs w:val="21"/>
        </w:rPr>
        <w:t>特别注意事项：（1）上述资料提供不齐全的，不予签到；（2）本项目投标截止时间后，不再受理签到；（3）未进行签到的，样品不予接收。</w:t>
      </w:r>
    </w:p>
    <w:p>
      <w:pPr>
        <w:spacing w:after="60" w:line="360" w:lineRule="auto"/>
        <w:ind w:firstLine="420" w:firstLineChars="200"/>
        <w:rPr>
          <w:rFonts w:ascii="宋体" w:hAnsi="宋体" w:cs="宋体"/>
          <w:kern w:val="0"/>
          <w:szCs w:val="18"/>
        </w:rPr>
      </w:pPr>
      <w:r>
        <w:rPr>
          <w:rFonts w:hint="eastAsia" w:ascii="宋体" w:hAnsi="宋体"/>
          <w:szCs w:val="21"/>
        </w:rPr>
        <w:t>26.2.</w:t>
      </w:r>
      <w:r>
        <w:rPr>
          <w:rFonts w:hint="eastAsia" w:ascii="宋体" w:hAnsi="宋体" w:cs="宋体"/>
          <w:kern w:val="0"/>
          <w:szCs w:val="18"/>
        </w:rPr>
        <w:t>2 样品接收（以专用条款约定为准）</w:t>
      </w:r>
    </w:p>
    <w:p>
      <w:pPr>
        <w:spacing w:after="60" w:line="360" w:lineRule="auto"/>
        <w:ind w:firstLine="420" w:firstLineChars="200"/>
        <w:rPr>
          <w:rFonts w:ascii="宋体" w:hAnsi="宋体" w:cs="宋体"/>
          <w:kern w:val="0"/>
          <w:szCs w:val="18"/>
        </w:rPr>
      </w:pPr>
      <w:r>
        <w:rPr>
          <w:rFonts w:hint="eastAsia" w:ascii="宋体" w:hAnsi="宋体" w:cs="宋体"/>
          <w:kern w:val="0"/>
          <w:szCs w:val="18"/>
        </w:rPr>
        <w:t xml:space="preserve">本项目投标截止时间后进行投标样品接收。投标样品接收必须进行身份核对、样品核对、登记确认、顺序编号。 </w:t>
      </w:r>
    </w:p>
    <w:p>
      <w:pPr>
        <w:spacing w:after="60" w:line="360" w:lineRule="auto"/>
        <w:ind w:firstLine="420" w:firstLineChars="200"/>
        <w:rPr>
          <w:rFonts w:ascii="宋体" w:hAnsi="宋体" w:cs="宋体"/>
          <w:kern w:val="0"/>
          <w:szCs w:val="18"/>
        </w:rPr>
      </w:pPr>
      <w:r>
        <w:rPr>
          <w:rFonts w:hint="eastAsia" w:ascii="宋体" w:hAnsi="宋体" w:cs="宋体"/>
          <w:kern w:val="0"/>
          <w:szCs w:val="18"/>
        </w:rPr>
        <w:t>（1）身份核对。</w:t>
      </w:r>
      <w:r>
        <w:rPr>
          <w:rFonts w:hint="eastAsia" w:ascii="宋体" w:hAnsi="宋体"/>
          <w:szCs w:val="21"/>
        </w:rPr>
        <w:t>采购实施机构</w:t>
      </w:r>
      <w:r>
        <w:rPr>
          <w:rFonts w:hint="eastAsia" w:ascii="宋体" w:hAnsi="宋体" w:cs="宋体"/>
          <w:kern w:val="0"/>
          <w:szCs w:val="18"/>
        </w:rPr>
        <w:t>核对投标供应商授权委托人提供的“法定代表人证明书（盖公章）、法定代表人授权委托书（盖公章）、授权委托人身份证原件和复印件”。资料不齐全的，不得接收投标样品。</w:t>
      </w:r>
    </w:p>
    <w:p>
      <w:pPr>
        <w:spacing w:after="60" w:line="360" w:lineRule="auto"/>
        <w:ind w:firstLine="420" w:firstLineChars="200"/>
        <w:rPr>
          <w:rFonts w:ascii="宋体" w:hAnsi="宋体" w:cs="宋体"/>
          <w:kern w:val="0"/>
          <w:szCs w:val="18"/>
        </w:rPr>
      </w:pPr>
      <w:r>
        <w:rPr>
          <w:rFonts w:hint="eastAsia" w:ascii="宋体" w:hAnsi="宋体" w:cs="宋体"/>
          <w:kern w:val="0"/>
          <w:szCs w:val="18"/>
        </w:rPr>
        <w:t>（2）样品核对。</w:t>
      </w:r>
      <w:r>
        <w:rPr>
          <w:rFonts w:hint="eastAsia" w:ascii="宋体" w:hAnsi="宋体"/>
          <w:szCs w:val="21"/>
        </w:rPr>
        <w:t>采购实施机构</w:t>
      </w:r>
      <w:r>
        <w:rPr>
          <w:rFonts w:hint="eastAsia" w:ascii="宋体" w:hAnsi="宋体" w:cs="宋体"/>
          <w:kern w:val="0"/>
          <w:szCs w:val="18"/>
        </w:rPr>
        <w:t>工作人员将投标样品与投标供应商提供的《样品清单》（盖公章）进行一一核对。有不一致的或损坏情况的，将要求供应商授权委托人在《样品清单》上注明。</w:t>
      </w:r>
    </w:p>
    <w:p>
      <w:pPr>
        <w:spacing w:after="60" w:line="360" w:lineRule="auto"/>
        <w:ind w:firstLine="420" w:firstLineChars="200"/>
        <w:rPr>
          <w:rFonts w:ascii="宋体" w:hAnsi="宋体" w:cs="宋体"/>
          <w:kern w:val="0"/>
          <w:szCs w:val="18"/>
        </w:rPr>
      </w:pPr>
      <w:r>
        <w:rPr>
          <w:rFonts w:hint="eastAsia" w:ascii="宋体" w:hAnsi="宋体" w:cs="宋体"/>
          <w:kern w:val="0"/>
          <w:szCs w:val="18"/>
        </w:rPr>
        <w:t>（3）登记确认。在完成身份核对及样品核对后，投标供应商授权委托人必须在《样品接收登记表》上登记确认。</w:t>
      </w:r>
    </w:p>
    <w:p>
      <w:pPr>
        <w:spacing w:after="60" w:line="360" w:lineRule="auto"/>
        <w:ind w:firstLine="420" w:firstLineChars="200"/>
        <w:rPr>
          <w:rFonts w:ascii="宋体" w:hAnsi="宋体" w:cs="宋体"/>
          <w:kern w:val="0"/>
          <w:szCs w:val="18"/>
        </w:rPr>
      </w:pPr>
      <w:r>
        <w:rPr>
          <w:rFonts w:hint="eastAsia" w:ascii="宋体" w:hAnsi="宋体" w:cs="宋体"/>
          <w:kern w:val="0"/>
          <w:szCs w:val="18"/>
        </w:rPr>
        <w:t>（4）顺序编号。</w:t>
      </w:r>
      <w:r>
        <w:rPr>
          <w:rFonts w:hint="eastAsia" w:ascii="宋体" w:hAnsi="宋体"/>
          <w:szCs w:val="21"/>
        </w:rPr>
        <w:t>采购实施机构</w:t>
      </w:r>
      <w:r>
        <w:rPr>
          <w:rFonts w:hint="eastAsia" w:ascii="宋体" w:hAnsi="宋体" w:cs="宋体"/>
          <w:kern w:val="0"/>
          <w:szCs w:val="18"/>
        </w:rPr>
        <w:t>工作人员按投标样品接收的先后顺序进行编号。</w:t>
      </w:r>
    </w:p>
    <w:p>
      <w:pPr>
        <w:spacing w:after="60" w:line="360" w:lineRule="auto"/>
        <w:ind w:firstLine="420" w:firstLineChars="200"/>
        <w:rPr>
          <w:rFonts w:ascii="宋体" w:hAnsi="宋体" w:cs="宋体"/>
          <w:kern w:val="0"/>
          <w:szCs w:val="18"/>
        </w:rPr>
      </w:pPr>
      <w:r>
        <w:rPr>
          <w:rFonts w:hint="eastAsia" w:ascii="宋体" w:hAnsi="宋体"/>
          <w:szCs w:val="21"/>
        </w:rPr>
        <w:t>26.3采购实施机构</w:t>
      </w:r>
      <w:r>
        <w:rPr>
          <w:rFonts w:hint="eastAsia" w:ascii="宋体" w:hAnsi="宋体" w:cs="宋体"/>
          <w:kern w:val="0"/>
          <w:szCs w:val="18"/>
        </w:rPr>
        <w:t>负责组织投标样品摆样，指引供应商授权委托人将投标样品搬运到指定地点摆放、拆除包装，按要求摆放整齐。完成样品摆样后，供应商授权委托人应及时立场，不得在摆样现场滞留。</w:t>
      </w:r>
    </w:p>
    <w:p>
      <w:pPr>
        <w:spacing w:after="60" w:line="360" w:lineRule="auto"/>
        <w:ind w:firstLine="420" w:firstLineChars="200"/>
        <w:rPr>
          <w:rFonts w:ascii="宋体" w:hAnsi="宋体" w:cs="宋体"/>
          <w:kern w:val="0"/>
          <w:szCs w:val="18"/>
        </w:rPr>
      </w:pPr>
      <w:r>
        <w:rPr>
          <w:rFonts w:hint="eastAsia" w:ascii="宋体" w:hAnsi="宋体" w:cs="宋体"/>
          <w:kern w:val="0"/>
          <w:szCs w:val="18"/>
        </w:rPr>
        <w:t>26.4样品的退回（以专用条款约定为准）：（1）未中标的供应商投标样品，</w:t>
      </w:r>
      <w:r>
        <w:rPr>
          <w:rFonts w:hint="eastAsia" w:ascii="宋体" w:hAnsi="宋体"/>
          <w:szCs w:val="21"/>
        </w:rPr>
        <w:t>采购实施机构</w:t>
      </w:r>
      <w:r>
        <w:rPr>
          <w:rFonts w:hint="eastAsia" w:ascii="宋体" w:hAnsi="宋体" w:cs="宋体"/>
          <w:kern w:val="0"/>
          <w:szCs w:val="18"/>
        </w:rPr>
        <w:t>工作人员将按规定进行通知，并要求供应商授权委托人在项目完成评审后的三个工作日内凭身份证及样品受理回执原件办理退回手续。（2）中标的供应商投标样品，</w:t>
      </w:r>
      <w:r>
        <w:rPr>
          <w:rFonts w:hint="eastAsia" w:ascii="宋体" w:hAnsi="宋体"/>
          <w:szCs w:val="21"/>
        </w:rPr>
        <w:t>采购实施机构</w:t>
      </w:r>
      <w:r>
        <w:rPr>
          <w:rFonts w:hint="eastAsia" w:ascii="宋体" w:hAnsi="宋体" w:cs="宋体"/>
          <w:kern w:val="0"/>
          <w:szCs w:val="18"/>
        </w:rPr>
        <w:t>工作人员将按规定进行通知，并要求采购人代表在中标通知书发放后三个工作日内凭中标通知书复印件及身份证原件办理领取手续。</w:t>
      </w:r>
    </w:p>
    <w:p>
      <w:pPr>
        <w:spacing w:after="60" w:line="360" w:lineRule="auto"/>
        <w:ind w:firstLine="420" w:firstLineChars="200"/>
        <w:rPr>
          <w:rFonts w:ascii="宋体" w:hAnsi="宋体" w:cs="宋体"/>
          <w:kern w:val="0"/>
          <w:szCs w:val="18"/>
        </w:rPr>
      </w:pPr>
      <w:r>
        <w:rPr>
          <w:rFonts w:hint="eastAsia" w:ascii="宋体" w:hAnsi="宋体" w:cs="宋体"/>
          <w:kern w:val="0"/>
          <w:szCs w:val="18"/>
        </w:rPr>
        <w:t>投标样品移交时，</w:t>
      </w:r>
      <w:r>
        <w:rPr>
          <w:rFonts w:hint="eastAsia" w:ascii="宋体" w:hAnsi="宋体"/>
          <w:szCs w:val="21"/>
        </w:rPr>
        <w:t>采购实施机构</w:t>
      </w:r>
      <w:r>
        <w:rPr>
          <w:rFonts w:hint="eastAsia" w:ascii="宋体" w:hAnsi="宋体" w:cs="宋体"/>
          <w:kern w:val="0"/>
          <w:szCs w:val="18"/>
        </w:rPr>
        <w:t>工作人员将再次核对供应商授权委托人或采购人代表身份、核对《样品清单》，签字确认后并取走样品。</w:t>
      </w:r>
    </w:p>
    <w:p>
      <w:pPr>
        <w:spacing w:after="60" w:line="360" w:lineRule="auto"/>
        <w:ind w:firstLine="420" w:firstLineChars="200"/>
        <w:rPr>
          <w:rFonts w:ascii="宋体" w:hAnsi="宋体" w:cs="宋体"/>
          <w:kern w:val="0"/>
          <w:szCs w:val="18"/>
        </w:rPr>
      </w:pPr>
      <w:r>
        <w:rPr>
          <w:rFonts w:hint="eastAsia" w:ascii="宋体" w:hAnsi="宋体" w:cs="宋体"/>
          <w:kern w:val="0"/>
          <w:szCs w:val="18"/>
        </w:rPr>
        <w:t>26.5未能及时退回的样品的处理：</w:t>
      </w:r>
    </w:p>
    <w:p>
      <w:pPr>
        <w:spacing w:after="60" w:line="360" w:lineRule="auto"/>
        <w:ind w:firstLine="420" w:firstLineChars="200"/>
        <w:rPr>
          <w:rFonts w:ascii="宋体" w:hAnsi="宋体" w:cs="宋体"/>
          <w:kern w:val="0"/>
          <w:szCs w:val="18"/>
        </w:rPr>
      </w:pPr>
      <w:r>
        <w:rPr>
          <w:rFonts w:hint="eastAsia" w:ascii="宋体" w:hAnsi="宋体" w:cs="宋体"/>
          <w:kern w:val="0"/>
          <w:szCs w:val="18"/>
        </w:rPr>
        <w:t>（1）未中标供应商未在规定时间内（项目完成评审后三个工作日）内取回投标样品的，视为放弃取回，</w:t>
      </w:r>
      <w:r>
        <w:rPr>
          <w:rFonts w:hint="eastAsia" w:ascii="宋体" w:hAnsi="宋体"/>
          <w:szCs w:val="21"/>
        </w:rPr>
        <w:t>采购实施机构</w:t>
      </w:r>
      <w:r>
        <w:rPr>
          <w:rFonts w:hint="eastAsia" w:ascii="宋体" w:hAnsi="宋体" w:cs="宋体"/>
          <w:kern w:val="0"/>
          <w:szCs w:val="18"/>
        </w:rPr>
        <w:t>将定期清理。</w:t>
      </w:r>
    </w:p>
    <w:p>
      <w:pPr>
        <w:spacing w:after="60" w:line="360" w:lineRule="auto"/>
        <w:ind w:firstLine="420"/>
        <w:rPr>
          <w:rFonts w:ascii="宋体" w:hAnsi="宋体"/>
          <w:szCs w:val="21"/>
        </w:rPr>
      </w:pPr>
      <w:r>
        <w:rPr>
          <w:rFonts w:hint="eastAsia" w:ascii="宋体" w:hAnsi="宋体" w:cs="宋体"/>
          <w:kern w:val="0"/>
          <w:szCs w:val="18"/>
        </w:rPr>
        <w:t>（2）采购人未在规定时间内（中标通知书发放后三个工作日内）内领取中标供应商投标样品的，</w:t>
      </w:r>
      <w:r>
        <w:rPr>
          <w:rFonts w:hint="eastAsia" w:ascii="宋体" w:hAnsi="宋体"/>
          <w:szCs w:val="21"/>
        </w:rPr>
        <w:t>采购实施机构</w:t>
      </w:r>
      <w:r>
        <w:rPr>
          <w:rFonts w:hint="eastAsia" w:ascii="宋体" w:hAnsi="宋体" w:cs="宋体"/>
          <w:kern w:val="0"/>
          <w:szCs w:val="18"/>
        </w:rPr>
        <w:t>工作人员将发函或电话敦促。</w:t>
      </w:r>
    </w:p>
    <w:p>
      <w:pPr>
        <w:spacing w:after="60" w:line="360" w:lineRule="auto"/>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spacing w:after="60" w:line="36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spacing w:after="60" w:line="36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spacing w:after="60" w:line="36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3从投标截止期至投标人在投标书中确定的投标有效期之间的这段时间内，投标人不得撤回其投标。</w:t>
      </w:r>
    </w:p>
    <w:p>
      <w:pPr>
        <w:spacing w:after="60" w:line="360" w:lineRule="auto"/>
        <w:ind w:firstLine="411" w:firstLineChars="196"/>
        <w:rPr>
          <w:rFonts w:ascii="宋体" w:hAnsi="宋体"/>
          <w:szCs w:val="21"/>
        </w:rPr>
      </w:pPr>
      <w:r>
        <w:rPr>
          <w:rFonts w:hint="eastAsia" w:ascii="宋体" w:hAnsi="宋体"/>
          <w:szCs w:val="21"/>
        </w:rPr>
        <w:t>27.4采购实施机构不退还投标文件，专用条款另有规定的除外。</w:t>
      </w: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第五章  开标</w:t>
      </w:r>
    </w:p>
    <w:p>
      <w:pPr>
        <w:spacing w:after="60" w:line="360" w:lineRule="auto"/>
        <w:rPr>
          <w:rFonts w:ascii="黑体" w:hAnsi="宋体" w:eastAsia="黑体"/>
          <w:sz w:val="24"/>
        </w:rPr>
      </w:pPr>
      <w:r>
        <w:rPr>
          <w:rFonts w:hint="eastAsia" w:ascii="黑体" w:hAnsi="宋体" w:eastAsia="黑体"/>
          <w:sz w:val="24"/>
        </w:rPr>
        <w:t>28．开标</w:t>
      </w:r>
    </w:p>
    <w:p>
      <w:pPr>
        <w:spacing w:after="60" w:line="360" w:lineRule="auto"/>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1采购实施机构将在投标截止时间后，对投标文件进行解密，开标，并在网上公布开标结果。</w:t>
      </w:r>
    </w:p>
    <w:p>
      <w:pPr>
        <w:spacing w:after="60" w:line="360" w:lineRule="auto"/>
        <w:ind w:firstLine="315" w:firstLineChars="150"/>
        <w:rPr>
          <w:rFonts w:ascii="宋体" w:hAnsi="宋体"/>
          <w:szCs w:val="21"/>
        </w:rPr>
      </w:pPr>
      <w:r>
        <w:rPr>
          <w:rFonts w:hint="eastAsia" w:ascii="宋体" w:hAnsi="宋体"/>
          <w:szCs w:val="21"/>
        </w:rPr>
        <w:t>28.2 网上投标的，当采购实施机构开标后，投标人即可登录“深圳市政府采购网”，使用“应标管理</w:t>
      </w:r>
      <w:r>
        <w:rPr>
          <w:rFonts w:ascii="宋体" w:hAnsi="宋体"/>
          <w:szCs w:val="21"/>
        </w:rPr>
        <w:sym w:font="Wingdings" w:char="F0E0"/>
      </w:r>
      <w:r>
        <w:rPr>
          <w:rFonts w:hint="eastAsia" w:ascii="宋体" w:hAnsi="宋体"/>
          <w:szCs w:val="21"/>
        </w:rPr>
        <w:t>浏览开标一览表</w:t>
      </w:r>
      <w:r>
        <w:rPr>
          <w:rFonts w:ascii="宋体" w:hAnsi="宋体"/>
          <w:szCs w:val="21"/>
        </w:rPr>
        <w:t>”</w:t>
      </w:r>
      <w:r>
        <w:rPr>
          <w:rFonts w:hint="eastAsia" w:ascii="宋体" w:hAnsi="宋体"/>
          <w:szCs w:val="21"/>
        </w:rPr>
        <w:t>功能点查看开标一览表。</w:t>
      </w:r>
    </w:p>
    <w:p>
      <w:pPr>
        <w:spacing w:after="60" w:line="360" w:lineRule="auto"/>
        <w:ind w:firstLine="315" w:firstLineChars="150"/>
        <w:rPr>
          <w:rFonts w:ascii="宋体" w:hAnsi="宋体"/>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第六章  评标要求</w:t>
      </w:r>
    </w:p>
    <w:p>
      <w:pPr>
        <w:spacing w:after="60" w:line="360" w:lineRule="auto"/>
        <w:rPr>
          <w:rFonts w:ascii="黑体" w:hAnsi="宋体" w:eastAsia="黑体"/>
          <w:sz w:val="24"/>
        </w:rPr>
      </w:pPr>
      <w:r>
        <w:rPr>
          <w:rFonts w:hint="eastAsia" w:ascii="黑体" w:hAnsi="宋体" w:eastAsia="黑体"/>
          <w:sz w:val="24"/>
        </w:rPr>
        <w:t>29．评审委员会组成</w:t>
      </w:r>
    </w:p>
    <w:p>
      <w:pPr>
        <w:spacing w:after="60" w:line="360" w:lineRule="auto"/>
        <w:ind w:firstLine="411" w:firstLineChars="196"/>
        <w:rPr>
          <w:rFonts w:ascii="宋体" w:hAnsi="宋体"/>
        </w:rPr>
      </w:pPr>
      <w:r>
        <w:rPr>
          <w:rFonts w:hint="eastAsia" w:ascii="宋体" w:hAnsi="宋体"/>
        </w:rPr>
        <w:t>29.1网上开标结束后召开评标会议，</w:t>
      </w:r>
      <w:r>
        <w:rPr>
          <w:rFonts w:hint="eastAsia" w:ascii="宋体" w:hAnsi="宋体"/>
          <w:szCs w:val="21"/>
        </w:rPr>
        <w:t>评审委员会</w:t>
      </w:r>
      <w:r>
        <w:rPr>
          <w:rFonts w:hint="eastAsia" w:ascii="宋体" w:hAnsi="宋体"/>
        </w:rPr>
        <w:t>由</w:t>
      </w:r>
      <w:r>
        <w:rPr>
          <w:rFonts w:hint="eastAsia" w:ascii="宋体" w:hAnsi="宋体"/>
          <w:szCs w:val="21"/>
        </w:rPr>
        <w:t>采购实施机构</w:t>
      </w:r>
      <w:r>
        <w:rPr>
          <w:rFonts w:hint="eastAsia" w:ascii="宋体" w:hAnsi="宋体"/>
        </w:rPr>
        <w:t>依法组建，负责评标活动。</w:t>
      </w:r>
    </w:p>
    <w:p>
      <w:pPr>
        <w:widowControl/>
        <w:shd w:val="clear" w:color="auto" w:fill="FFFFFF"/>
        <w:spacing w:before="47" w:after="60" w:line="360" w:lineRule="auto"/>
        <w:jc w:val="left"/>
      </w:pPr>
      <w:r>
        <w:rPr>
          <w:rFonts w:hint="eastAsia"/>
        </w:rPr>
        <w:t xml:space="preserve">    </w:t>
      </w:r>
      <w:r>
        <w:t>评审委员会由</w:t>
      </w:r>
      <w:r>
        <w:rPr>
          <w:rFonts w:hint="eastAsia"/>
        </w:rPr>
        <w:t>采购人代表和</w:t>
      </w:r>
      <w:r>
        <w:t>评审专家组成，</w:t>
      </w:r>
      <w:r>
        <w:rPr>
          <w:rFonts w:hint="eastAsia"/>
        </w:rPr>
        <w:t>成员</w:t>
      </w:r>
      <w:r>
        <w:t>人数为五人以上的单数</w:t>
      </w:r>
      <w:r>
        <w:rPr>
          <w:rFonts w:hint="eastAsia"/>
        </w:rPr>
        <w:t>。评定分离项目</w:t>
      </w:r>
      <w:r>
        <w:t>评审专家</w:t>
      </w:r>
      <w:r>
        <w:rPr>
          <w:rFonts w:hint="eastAsia"/>
        </w:rPr>
        <w:t>均</w:t>
      </w:r>
      <w:r>
        <w:t>由</w:t>
      </w:r>
      <w:r>
        <w:rPr>
          <w:rFonts w:hint="eastAsia"/>
        </w:rPr>
        <w:t>评审专家组成。</w:t>
      </w:r>
    </w:p>
    <w:p>
      <w:pPr>
        <w:spacing w:after="60" w:line="360" w:lineRule="auto"/>
        <w:ind w:firstLine="411" w:firstLineChars="196"/>
        <w:rPr>
          <w:rFonts w:ascii="宋体" w:hAnsi="宋体"/>
        </w:rPr>
      </w:pPr>
      <w:r>
        <w:rPr>
          <w:rFonts w:hint="eastAsia" w:ascii="宋体" w:hAnsi="宋体"/>
        </w:rPr>
        <w:t>为保证评委人选的专业性，以及评标中的公平公正性，</w:t>
      </w:r>
      <w:r>
        <w:rPr>
          <w:rFonts w:hint="eastAsia" w:ascii="宋体" w:hAnsi="宋体"/>
          <w:szCs w:val="21"/>
        </w:rPr>
        <w:t>评审专家</w:t>
      </w:r>
      <w:r>
        <w:rPr>
          <w:rFonts w:hint="eastAsia" w:ascii="宋体" w:hAnsi="宋体"/>
        </w:rPr>
        <w:t>从深圳市财政局评标专家库中随机抽取。</w:t>
      </w:r>
    </w:p>
    <w:p>
      <w:pPr>
        <w:spacing w:after="60" w:line="360" w:lineRule="auto"/>
        <w:ind w:firstLine="411" w:firstLineChars="196"/>
        <w:rPr>
          <w:rFonts w:ascii="宋体" w:hAnsi="宋体"/>
        </w:rPr>
      </w:pPr>
      <w:r>
        <w:rPr>
          <w:rFonts w:hint="eastAsia" w:ascii="宋体" w:hAnsi="宋体"/>
        </w:rPr>
        <w:t>采购人代表须持本单位签发的《评标授权书》参加评标。</w:t>
      </w:r>
    </w:p>
    <w:p>
      <w:pPr>
        <w:spacing w:after="60" w:line="360" w:lineRule="auto"/>
        <w:ind w:firstLine="411" w:firstLineChars="196"/>
        <w:rPr>
          <w:rFonts w:ascii="宋体" w:hAnsi="宋体"/>
          <w:sz w:val="24"/>
        </w:rPr>
      </w:pPr>
      <w:r>
        <w:rPr>
          <w:rFonts w:hint="eastAsia" w:ascii="宋体" w:hAnsi="宋体"/>
          <w:szCs w:val="21"/>
        </w:rPr>
        <w:t>注：《评标授权书》模板可以从“政府集中采购机构网站”（</w:t>
      </w:r>
      <w:r>
        <w:rPr>
          <w:rFonts w:asciiTheme="minorEastAsia" w:hAnsiTheme="minorEastAsia" w:eastAsiaTheme="minorEastAsia"/>
        </w:rPr>
        <w:t>http://www.szzfcg.cn/</w:t>
      </w:r>
      <w:r>
        <w:rPr>
          <w:rFonts w:hint="eastAsia" w:ascii="宋体" w:hAnsi="宋体"/>
          <w:szCs w:val="21"/>
        </w:rPr>
        <w:t>）采购人页面下“采购”环节“通用表格”处下载</w:t>
      </w:r>
      <w:r>
        <w:rPr>
          <w:rFonts w:hint="eastAsia" w:ascii="宋体" w:hAnsi="宋体"/>
          <w:sz w:val="24"/>
        </w:rPr>
        <w:t>。</w:t>
      </w:r>
    </w:p>
    <w:p>
      <w:pPr>
        <w:spacing w:after="60" w:line="360" w:lineRule="auto"/>
        <w:ind w:firstLine="411" w:firstLineChars="196"/>
        <w:rPr>
          <w:rFonts w:ascii="宋体" w:hAnsi="宋体"/>
        </w:rPr>
      </w:pPr>
      <w:r>
        <w:rPr>
          <w:rFonts w:hint="eastAsia" w:ascii="宋体" w:hAnsi="宋体"/>
        </w:rPr>
        <w:t>29.2评标定标应当遵循公平、公正、科学、择优的原则。</w:t>
      </w:r>
    </w:p>
    <w:p>
      <w:pPr>
        <w:spacing w:after="60" w:line="360" w:lineRule="auto"/>
        <w:ind w:firstLine="411" w:firstLineChars="196"/>
        <w:rPr>
          <w:rFonts w:ascii="宋体" w:hAnsi="宋体"/>
        </w:rPr>
      </w:pPr>
      <w:r>
        <w:rPr>
          <w:rFonts w:hint="eastAsia" w:ascii="宋体" w:hAnsi="宋体"/>
        </w:rPr>
        <w:t>29.3评标活动依法进行，任何单位和个人不得非法干预评标过程和结果。</w:t>
      </w:r>
    </w:p>
    <w:p>
      <w:pPr>
        <w:spacing w:after="60" w:line="360" w:lineRule="auto"/>
        <w:ind w:firstLine="411" w:firstLineChars="196"/>
        <w:rPr>
          <w:rFonts w:ascii="宋体" w:hAnsi="宋体"/>
        </w:rPr>
      </w:pPr>
      <w:r>
        <w:rPr>
          <w:rFonts w:hint="eastAsia" w:ascii="宋体" w:hAnsi="宋体"/>
        </w:rPr>
        <w:t>29.4评标过程中不允许违背评标程序或采用招标文件未载明的评标方法或评标因素进行评标。</w:t>
      </w:r>
    </w:p>
    <w:p>
      <w:pPr>
        <w:spacing w:after="60" w:line="360" w:lineRule="auto"/>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开标后，直到签订合同为止，凡属于对投标文件的审查、澄清、评价和比较的有关资料以及中标候选人的推荐情况、与评标有关的其他任何情况均严格保密（</w:t>
      </w:r>
      <w:r>
        <w:rPr>
          <w:rFonts w:hint="eastAsia"/>
        </w:rPr>
        <w:t>信息公开的内容除外</w:t>
      </w:r>
      <w:r>
        <w:rPr>
          <w:rFonts w:hint="eastAsia" w:ascii="宋体" w:hAnsi="宋体"/>
          <w:bCs/>
        </w:rPr>
        <w:t>）。</w:t>
      </w:r>
    </w:p>
    <w:p>
      <w:pPr>
        <w:spacing w:after="60" w:line="360" w:lineRule="auto"/>
        <w:rPr>
          <w:rFonts w:ascii="黑体" w:hAnsi="宋体" w:eastAsia="黑体"/>
          <w:sz w:val="24"/>
        </w:rPr>
      </w:pPr>
      <w:r>
        <w:rPr>
          <w:rFonts w:hint="eastAsia" w:ascii="黑体" w:hAnsi="宋体" w:eastAsia="黑体"/>
          <w:sz w:val="24"/>
        </w:rPr>
        <w:t>30．向评审委员会提供的资料</w:t>
      </w:r>
    </w:p>
    <w:p>
      <w:pPr>
        <w:spacing w:after="60" w:line="360" w:lineRule="auto"/>
        <w:ind w:firstLine="411" w:firstLineChars="196"/>
        <w:rPr>
          <w:rFonts w:ascii="宋体" w:hAnsi="宋体"/>
        </w:rPr>
      </w:pPr>
      <w:r>
        <w:rPr>
          <w:rFonts w:hint="eastAsia" w:ascii="宋体" w:hAnsi="宋体"/>
        </w:rPr>
        <w:t>30.1公开发布的招标文件，包括图纸、服务清单、答疑文件等；</w:t>
      </w:r>
    </w:p>
    <w:p>
      <w:pPr>
        <w:spacing w:after="60" w:line="360" w:lineRule="auto"/>
        <w:ind w:firstLine="411" w:firstLineChars="196"/>
        <w:rPr>
          <w:rFonts w:ascii="宋体" w:hAnsi="宋体"/>
        </w:rPr>
      </w:pPr>
      <w:r>
        <w:rPr>
          <w:rFonts w:hint="eastAsia" w:ascii="宋体" w:hAnsi="宋体"/>
        </w:rPr>
        <w:t>30.2其他评标必须的资料。</w:t>
      </w:r>
    </w:p>
    <w:p>
      <w:pPr>
        <w:spacing w:after="60" w:line="360" w:lineRule="auto"/>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spacing w:after="60" w:line="360" w:lineRule="auto"/>
        <w:ind w:firstLine="411" w:firstLineChars="196"/>
        <w:rPr>
          <w:rFonts w:ascii="宋体" w:hAnsi="宋体"/>
        </w:rPr>
      </w:pPr>
      <w:r>
        <w:rPr>
          <w:rFonts w:hint="eastAsia" w:ascii="宋体" w:hAnsi="宋体"/>
        </w:rPr>
        <w:t>（1）招标的目的；</w:t>
      </w:r>
    </w:p>
    <w:p>
      <w:pPr>
        <w:spacing w:after="60" w:line="360" w:lineRule="auto"/>
        <w:ind w:firstLine="411" w:firstLineChars="196"/>
        <w:rPr>
          <w:rFonts w:ascii="宋体" w:hAnsi="宋体"/>
        </w:rPr>
      </w:pPr>
      <w:r>
        <w:rPr>
          <w:rFonts w:hint="eastAsia" w:ascii="宋体" w:hAnsi="宋体"/>
        </w:rPr>
        <w:t>（2）招标项目需求的范围和性质；</w:t>
      </w:r>
    </w:p>
    <w:p>
      <w:pPr>
        <w:spacing w:after="60" w:line="360" w:lineRule="auto"/>
        <w:ind w:firstLine="411" w:firstLineChars="196"/>
        <w:rPr>
          <w:rFonts w:ascii="宋体" w:hAnsi="宋体"/>
        </w:rPr>
      </w:pPr>
      <w:r>
        <w:rPr>
          <w:rFonts w:hint="eastAsia" w:ascii="宋体" w:hAnsi="宋体"/>
        </w:rPr>
        <w:t>（3）招标文件规定的投标人的资格、财政预算限额、商务条款；</w:t>
      </w:r>
    </w:p>
    <w:p>
      <w:pPr>
        <w:spacing w:after="60" w:line="360" w:lineRule="auto"/>
        <w:ind w:firstLine="411" w:firstLineChars="196"/>
        <w:rPr>
          <w:rFonts w:ascii="宋体" w:hAnsi="宋体"/>
        </w:rPr>
      </w:pPr>
      <w:r>
        <w:rPr>
          <w:rFonts w:hint="eastAsia" w:ascii="宋体" w:hAnsi="宋体"/>
        </w:rPr>
        <w:t>（4）招标文件规定的评标程序、评标方法和评标因素；</w:t>
      </w:r>
    </w:p>
    <w:p>
      <w:pPr>
        <w:spacing w:after="60" w:line="360" w:lineRule="auto"/>
        <w:ind w:firstLine="411" w:firstLineChars="196"/>
        <w:rPr>
          <w:rFonts w:ascii="宋体" w:hAnsi="宋体"/>
        </w:rPr>
      </w:pPr>
      <w:r>
        <w:rPr>
          <w:rFonts w:hint="eastAsia" w:ascii="宋体" w:hAnsi="宋体"/>
        </w:rPr>
        <w:t>（5）招标文件所列示的资格性审查表及符合性审查表。</w:t>
      </w:r>
    </w:p>
    <w:p>
      <w:pPr>
        <w:spacing w:after="60" w:line="360" w:lineRule="auto"/>
        <w:rPr>
          <w:rFonts w:ascii="黑体" w:hAnsi="宋体" w:eastAsia="黑体"/>
          <w:sz w:val="24"/>
        </w:rPr>
      </w:pPr>
      <w:r>
        <w:rPr>
          <w:rFonts w:hint="eastAsia" w:ascii="黑体" w:hAnsi="宋体" w:eastAsia="黑体"/>
          <w:sz w:val="24"/>
        </w:rPr>
        <w:t>31．独立评标</w:t>
      </w:r>
    </w:p>
    <w:p>
      <w:pPr>
        <w:spacing w:after="60" w:line="360" w:lineRule="auto"/>
        <w:ind w:firstLine="411" w:firstLineChars="196"/>
        <w:rPr>
          <w:rFonts w:ascii="宋体" w:hAnsi="宋体"/>
          <w:bCs/>
        </w:rPr>
      </w:pPr>
      <w:r>
        <w:rPr>
          <w:rFonts w:hint="eastAsia" w:ascii="宋体" w:hAnsi="宋体"/>
          <w:bCs/>
        </w:rPr>
        <w:t>30.1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成员的评标活动应当独立进行，并应遵循投标文件初审、澄清有关问题、比较与评价、确定中标供应商、编写评标报告的工作程序。</w:t>
      </w:r>
    </w:p>
    <w:p>
      <w:pPr>
        <w:spacing w:after="60" w:line="360" w:lineRule="auto"/>
        <w:ind w:firstLine="411" w:firstLineChars="196"/>
        <w:rPr>
          <w:rFonts w:ascii="宋体" w:hAnsi="宋体"/>
          <w:bCs/>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第七章  评标程序及评标方法</w:t>
      </w:r>
    </w:p>
    <w:p>
      <w:pPr>
        <w:spacing w:after="60" w:line="360" w:lineRule="auto"/>
        <w:rPr>
          <w:rFonts w:ascii="黑体" w:hAnsi="宋体" w:eastAsia="黑体"/>
          <w:sz w:val="24"/>
        </w:rPr>
      </w:pPr>
      <w:r>
        <w:rPr>
          <w:rFonts w:hint="eastAsia" w:ascii="黑体" w:hAnsi="宋体" w:eastAsia="黑体"/>
          <w:sz w:val="24"/>
        </w:rPr>
        <w:t>32．投标文件初审</w:t>
      </w:r>
    </w:p>
    <w:p>
      <w:pPr>
        <w:spacing w:after="60" w:line="360" w:lineRule="auto"/>
        <w:ind w:firstLine="411" w:firstLineChars="196"/>
        <w:rPr>
          <w:rFonts w:ascii="宋体" w:hAnsi="宋体"/>
        </w:rPr>
      </w:pPr>
      <w:r>
        <w:rPr>
          <w:rFonts w:hint="eastAsia" w:ascii="宋体" w:hAnsi="宋体"/>
        </w:rPr>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r>
        <w:rPr>
          <w:rFonts w:hint="eastAsia" w:asciiTheme="minorEastAsia" w:hAnsiTheme="minorEastAsia" w:eastAsiaTheme="minorEastAsia"/>
          <w:bCs/>
          <w:szCs w:val="21"/>
        </w:rPr>
        <w:t>评标委员会决定投标的响应性只根据投标本身的内容，而不寻求外部的证据。</w:t>
      </w:r>
    </w:p>
    <w:p>
      <w:pPr>
        <w:autoSpaceDE w:val="0"/>
        <w:autoSpaceDN w:val="0"/>
        <w:adjustRightInd w:val="0"/>
        <w:spacing w:after="60" w:line="360" w:lineRule="auto"/>
        <w:ind w:firstLine="420"/>
        <w:jc w:val="left"/>
        <w:rPr>
          <w:rFonts w:ascii="宋体" w:hAnsi="宋体"/>
          <w:b/>
        </w:rPr>
      </w:pPr>
      <w:r>
        <w:rPr>
          <w:rFonts w:hint="eastAsia" w:ascii="宋体" w:hAnsi="宋体"/>
        </w:rPr>
        <w:t xml:space="preserve">32.2 </w:t>
      </w:r>
      <w:r>
        <w:rPr>
          <w:rFonts w:hint="eastAsia" w:ascii="宋体" w:hAnsi="宋体"/>
          <w:b/>
        </w:rPr>
        <w:t>投标文件初审内容请详见《资格性审查表》和《符合性审查表》部分。投标人若有一条审查不通过则按投标无效处理。评审委员会对投标单位打√为通过审查，打×为未通过审查。</w:t>
      </w:r>
    </w:p>
    <w:p>
      <w:pPr>
        <w:spacing w:after="60" w:line="360" w:lineRule="auto"/>
        <w:ind w:firstLine="413" w:firstLineChars="196"/>
        <w:rPr>
          <w:rFonts w:ascii="宋体" w:hAnsi="宋体"/>
          <w:b/>
        </w:rPr>
      </w:pPr>
      <w:r>
        <w:rPr>
          <w:rFonts w:hint="eastAsia" w:ascii="宋体" w:hAnsi="宋体"/>
          <w:b/>
        </w:rPr>
        <w:t>32.3 投标文件初审中关于供应商家数的计算:</w:t>
      </w:r>
    </w:p>
    <w:p>
      <w:pPr>
        <w:spacing w:after="60" w:line="360" w:lineRule="auto"/>
        <w:ind w:firstLine="413" w:firstLineChars="196"/>
        <w:rPr>
          <w:rFonts w:ascii="宋体" w:hAnsi="宋体"/>
          <w:b/>
        </w:rPr>
      </w:pPr>
      <w:r>
        <w:rPr>
          <w:rFonts w:hint="eastAsia" w:ascii="宋体" w:hAnsi="宋体"/>
          <w:b/>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pPr>
        <w:spacing w:after="60" w:line="360" w:lineRule="auto"/>
        <w:ind w:firstLine="413" w:firstLineChars="196"/>
        <w:rPr>
          <w:rFonts w:ascii="宋体" w:hAnsi="宋体"/>
          <w:b/>
        </w:rPr>
      </w:pPr>
      <w:r>
        <w:rPr>
          <w:rFonts w:hint="eastAsia" w:ascii="宋体" w:hAnsi="宋体"/>
          <w:b/>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
          <w:szCs w:val="21"/>
        </w:rPr>
        <w:t>评审委员会</w:t>
      </w:r>
      <w:r>
        <w:rPr>
          <w:rFonts w:hint="eastAsia" w:ascii="宋体" w:hAnsi="宋体"/>
          <w:b/>
        </w:rPr>
        <w:t>按照招标文件规定的方式确定一个投标人获得中标人推荐资格，招标文件未规定的采取随机抽取方式确定，其他同品牌投标人不作为中标候选人。</w:t>
      </w:r>
    </w:p>
    <w:p>
      <w:pPr>
        <w:spacing w:after="60" w:line="360" w:lineRule="auto"/>
        <w:ind w:firstLine="413" w:firstLineChars="196"/>
        <w:rPr>
          <w:rFonts w:ascii="宋体" w:hAnsi="宋体"/>
          <w:b/>
        </w:rPr>
      </w:pPr>
      <w:r>
        <w:rPr>
          <w:rFonts w:hint="eastAsia" w:ascii="宋体" w:hAnsi="宋体"/>
          <w:b/>
        </w:rPr>
        <w:t>32.3.3非单一产品采购项目，采购人应当根据采购项目技术构成、产品价格比重等合理确定核心产品，并在招标文件中载明。多家投标人提供的核心产品品牌相同的，按前两款规定处理。</w:t>
      </w:r>
    </w:p>
    <w:p>
      <w:pPr>
        <w:spacing w:after="60" w:line="360" w:lineRule="auto"/>
        <w:ind w:firstLine="411" w:firstLineChars="196"/>
        <w:rPr>
          <w:rFonts w:ascii="宋体" w:hAnsi="宋体"/>
        </w:rPr>
      </w:pPr>
      <w:r>
        <w:rPr>
          <w:rFonts w:hint="eastAsia" w:ascii="宋体" w:hAnsi="宋体"/>
        </w:rPr>
        <w:t>32.4投标人投标文件作无效处理的情形，具体包括但不限于以下：</w:t>
      </w:r>
    </w:p>
    <w:p>
      <w:pPr>
        <w:spacing w:after="60" w:line="360" w:lineRule="auto"/>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spacing w:after="60" w:line="360" w:lineRule="auto"/>
        <w:ind w:firstLine="411" w:firstLineChars="196"/>
        <w:rPr>
          <w:rFonts w:asciiTheme="minorEastAsia" w:hAnsiTheme="minorEastAsia" w:eastAsiaTheme="minorEastAsia"/>
        </w:rPr>
      </w:pPr>
      <w:r>
        <w:rPr>
          <w:rFonts w:asciiTheme="minorEastAsia" w:hAnsiTheme="minorEastAsia" w:eastAsiaTheme="minorEastAsia"/>
        </w:rPr>
        <w:t>32.4.</w:t>
      </w:r>
      <w:r>
        <w:rPr>
          <w:rFonts w:hint="eastAsia" w:asciiTheme="minorEastAsia" w:hAnsiTheme="minorEastAsia" w:eastAsiaTheme="minorEastAsia"/>
        </w:rPr>
        <w:t>2不同投标人委托同一单位或者个人办理投标事宜；</w:t>
      </w:r>
    </w:p>
    <w:p>
      <w:pPr>
        <w:spacing w:after="60" w:line="360" w:lineRule="auto"/>
        <w:ind w:firstLine="411" w:firstLineChars="196"/>
        <w:rPr>
          <w:rFonts w:asciiTheme="minorEastAsia" w:hAnsiTheme="minorEastAsia" w:eastAsiaTheme="minorEastAsia"/>
        </w:rPr>
      </w:pPr>
      <w:r>
        <w:rPr>
          <w:rFonts w:hint="eastAsia" w:asciiTheme="minorEastAsia" w:hAnsiTheme="minorEastAsia" w:eastAsiaTheme="minorEastAsia"/>
        </w:rPr>
        <w:t>32.4.3不同投标人的投标文件载明的项目管理成员或者联系人员为同一人；</w:t>
      </w:r>
    </w:p>
    <w:p>
      <w:pPr>
        <w:spacing w:after="60" w:line="360" w:lineRule="auto"/>
        <w:ind w:firstLine="411" w:firstLineChars="196"/>
        <w:rPr>
          <w:rFonts w:asciiTheme="minorEastAsia" w:hAnsiTheme="minorEastAsia" w:eastAsiaTheme="minorEastAsia"/>
        </w:rPr>
      </w:pPr>
      <w:r>
        <w:rPr>
          <w:rFonts w:hint="eastAsia" w:asciiTheme="minorEastAsia" w:hAnsiTheme="minorEastAsia" w:eastAsiaTheme="minorEastAsia"/>
        </w:rPr>
        <w:t>32.4.4不同投标人的投标文件异常一致或者投标报价呈规律性差异；</w:t>
      </w:r>
    </w:p>
    <w:p>
      <w:pPr>
        <w:spacing w:after="60" w:line="360" w:lineRule="auto"/>
        <w:ind w:firstLine="411" w:firstLineChars="196"/>
        <w:rPr>
          <w:rFonts w:asciiTheme="minorEastAsia" w:hAnsiTheme="minorEastAsia" w:eastAsiaTheme="minorEastAsia"/>
        </w:rPr>
      </w:pPr>
      <w:r>
        <w:rPr>
          <w:rFonts w:hint="eastAsia" w:asciiTheme="minorEastAsia" w:hAnsiTheme="minorEastAsia" w:eastAsiaTheme="minorEastAsia"/>
        </w:rPr>
        <w:t>32.4.5</w:t>
      </w:r>
      <w:r>
        <w:rPr>
          <w:rFonts w:cs="宋体" w:asciiTheme="minorEastAsia" w:hAnsiTheme="minorEastAsia" w:eastAsiaTheme="minorEastAsia"/>
          <w:kern w:val="0"/>
          <w:szCs w:val="21"/>
        </w:rPr>
        <w:t>不同投标供应商的投标文件或部分投标文件相互混装</w:t>
      </w:r>
      <w:r>
        <w:rPr>
          <w:rFonts w:hint="eastAsia" w:asciiTheme="minorEastAsia" w:hAnsiTheme="minorEastAsia" w:eastAsiaTheme="minorEastAsia"/>
        </w:rPr>
        <w:t>；</w:t>
      </w:r>
    </w:p>
    <w:p>
      <w:pPr>
        <w:spacing w:after="60" w:line="360" w:lineRule="auto"/>
        <w:ind w:firstLine="411" w:firstLineChars="196"/>
        <w:rPr>
          <w:rFonts w:ascii="宋体" w:hAnsi="宋体"/>
        </w:rPr>
      </w:pPr>
      <w:r>
        <w:rPr>
          <w:rFonts w:hint="eastAsia" w:asciiTheme="minorEastAsia" w:hAnsiTheme="minorEastAsia" w:eastAsiaTheme="minorEastAsia"/>
        </w:rPr>
        <w:t>32.4.6投</w:t>
      </w:r>
      <w:r>
        <w:rPr>
          <w:rFonts w:hint="eastAsia" w:ascii="宋体" w:hAnsi="宋体"/>
        </w:rPr>
        <w:t>标供应商之间相互约定给予未中标的供应商利益补偿；</w:t>
      </w:r>
    </w:p>
    <w:p>
      <w:pPr>
        <w:spacing w:after="60" w:line="360" w:lineRule="auto"/>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spacing w:after="60" w:line="360" w:lineRule="auto"/>
        <w:ind w:firstLine="411" w:firstLineChars="196"/>
        <w:rPr>
          <w:rFonts w:ascii="宋体" w:hAnsi="宋体"/>
        </w:rPr>
      </w:pPr>
      <w:r>
        <w:rPr>
          <w:rFonts w:hint="eastAsia" w:ascii="宋体" w:hAnsi="宋体"/>
        </w:rPr>
        <w:t>32.4.8不同投标供应商的投标文件内容存在非正常一致；</w:t>
      </w:r>
    </w:p>
    <w:p>
      <w:pPr>
        <w:spacing w:after="60" w:line="360" w:lineRule="auto"/>
        <w:ind w:firstLine="411" w:firstLineChars="196"/>
        <w:rPr>
          <w:rFonts w:ascii="宋体" w:hAnsi="宋体"/>
        </w:rPr>
      </w:pPr>
      <w:r>
        <w:rPr>
          <w:rFonts w:hint="eastAsia" w:ascii="宋体" w:hAnsi="宋体"/>
        </w:rPr>
        <w:t>32.4.9在同一单位工作人员为两家以上（含两家）供应商进行同一项投标活动；</w:t>
      </w:r>
    </w:p>
    <w:p>
      <w:pPr>
        <w:spacing w:after="60" w:line="360" w:lineRule="auto"/>
        <w:ind w:firstLine="411" w:firstLineChars="196"/>
        <w:rPr>
          <w:rFonts w:ascii="宋体" w:hAnsi="宋体"/>
        </w:rPr>
      </w:pPr>
      <w:r>
        <w:rPr>
          <w:rFonts w:hint="eastAsia" w:ascii="宋体" w:hAnsi="宋体"/>
        </w:rPr>
        <w:t>32.4.10主管部门依照法律、法规认定的其他情形。</w:t>
      </w:r>
    </w:p>
    <w:p>
      <w:pPr>
        <w:spacing w:after="60" w:line="360" w:lineRule="auto"/>
        <w:ind w:firstLine="420" w:firstLineChars="200"/>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32.6</w:t>
      </w:r>
      <w:r>
        <w:rPr>
          <w:rFonts w:hint="eastAsia" w:asciiTheme="minorEastAsia" w:hAnsiTheme="minorEastAsia" w:eastAsiaTheme="minorEastAsia"/>
          <w:szCs w:val="21"/>
        </w:rPr>
        <w:t>对不属于“投标无效”或“拒绝投标”列示的其他情形，包括投标文件中不构成实质性偏差的不正规、不一致或不规则，给评审带来不便，除法律法规另有规定外，评标委员会可以接受，并酌情扣分处理。</w:t>
      </w:r>
    </w:p>
    <w:p>
      <w:pPr>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32.7</w:t>
      </w:r>
      <w:r>
        <w:rPr>
          <w:rFonts w:hint="eastAsia" w:cs="Arial" w:asciiTheme="minorEastAsia" w:hAnsiTheme="minorEastAsia" w:eastAsiaTheme="minorEastAsia"/>
          <w:szCs w:val="21"/>
        </w:rPr>
        <w:t>根据项目具体情况，评标委员会有权决定招标文件中“可能导致投标无效”或“可能导致其投标被拒绝”等具体条款是否实施“投标无效”或“投标被拒绝”，但对同一条款的裁决应适用于每一个投标人。</w:t>
      </w:r>
      <w:r>
        <w:rPr>
          <w:rFonts w:hint="eastAsia" w:asciiTheme="minorEastAsia" w:hAnsiTheme="minorEastAsia" w:eastAsiaTheme="minorEastAsia"/>
          <w:szCs w:val="21"/>
        </w:rPr>
        <w:t>如果评标委员会认为投标文件存在不完善或有纰漏的情况，但又没有违反实质性规定，不足以导致投标无效的，应作扣分处理。</w:t>
      </w:r>
    </w:p>
    <w:p>
      <w:pPr>
        <w:spacing w:after="60" w:line="360" w:lineRule="auto"/>
        <w:ind w:firstLine="420" w:firstLineChars="200"/>
        <w:rPr>
          <w:rFonts w:asciiTheme="minorEastAsia" w:hAnsiTheme="minorEastAsia" w:eastAsiaTheme="minorEastAsia"/>
          <w:szCs w:val="21"/>
        </w:rPr>
      </w:pPr>
      <w:r>
        <w:rPr>
          <w:rFonts w:hint="eastAsia" w:ascii="宋体" w:hAnsi="宋体"/>
        </w:rPr>
        <w:t>32.8</w:t>
      </w:r>
      <w:r>
        <w:rPr>
          <w:rFonts w:hint="eastAsia" w:asciiTheme="minorEastAsia" w:hAnsiTheme="minorEastAsia" w:eastAsiaTheme="minorEastAsia"/>
          <w:szCs w:val="21"/>
        </w:rPr>
        <w:t>由于投标书编制软件设置开标一览表固定格式只有“交货期”（或“完工期”）栏目的原因，服务类项目不存在“交货期”（或“完工期”），投标人在编制服务类项目投标文件时“交货期”（或“完工期”）建议统一填“</w:t>
      </w:r>
      <w:r>
        <w:rPr>
          <w:rFonts w:asciiTheme="minorEastAsia" w:hAnsiTheme="minorEastAsia" w:eastAsiaTheme="minorEastAsia"/>
          <w:szCs w:val="21"/>
        </w:rPr>
        <w:t>1</w:t>
      </w:r>
      <w:r>
        <w:rPr>
          <w:rFonts w:hint="eastAsia" w:asciiTheme="minorEastAsia" w:hAnsiTheme="minorEastAsia" w:eastAsiaTheme="minorEastAsia"/>
          <w:szCs w:val="21"/>
        </w:rPr>
        <w:t>”，投标人投标文件只要对项目具体的服务期限作出响应，此项填写内容不作为投标无效条款。</w:t>
      </w:r>
    </w:p>
    <w:p>
      <w:pPr>
        <w:spacing w:after="60" w:line="360" w:lineRule="auto"/>
        <w:rPr>
          <w:rFonts w:ascii="黑体" w:hAnsi="宋体" w:eastAsia="黑体"/>
          <w:sz w:val="24"/>
        </w:rPr>
      </w:pPr>
      <w:r>
        <w:rPr>
          <w:rFonts w:hint="eastAsia" w:ascii="黑体" w:hAnsi="宋体" w:eastAsia="黑体"/>
          <w:sz w:val="24"/>
        </w:rPr>
        <w:t>33．澄清有关问题</w:t>
      </w:r>
    </w:p>
    <w:p>
      <w:pPr>
        <w:spacing w:after="60" w:line="360" w:lineRule="auto"/>
        <w:ind w:firstLine="411" w:firstLineChars="196"/>
        <w:rPr>
          <w:rFonts w:ascii="宋体" w:hAnsi="宋体"/>
        </w:rPr>
      </w:pP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widowControl/>
        <w:spacing w:after="60" w:line="360" w:lineRule="auto"/>
        <w:jc w:val="left"/>
        <w:textAlignment w:val="baseline"/>
        <w:rPr>
          <w:rFonts w:ascii="宋体" w:hAnsi="宋体"/>
        </w:rPr>
      </w:pPr>
      <w:r>
        <w:rPr>
          <w:rFonts w:hint="eastAsia" w:ascii="宋体" w:hAnsi="宋体"/>
        </w:rPr>
        <w:t>　　投标人的澄清、说明或者补正应当采用书面形式，并加盖公章，或者由法定代表人或其授权的代表签字。投标人的澄清、说明或者补正不得超出投标文件的范围或者改变投标文件的实质性内容。</w:t>
      </w:r>
    </w:p>
    <w:p>
      <w:pPr>
        <w:spacing w:after="60" w:line="360" w:lineRule="auto"/>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spacing w:after="60" w:line="360" w:lineRule="auto"/>
        <w:rPr>
          <w:rFonts w:ascii="黑体" w:hAnsi="宋体" w:eastAsia="黑体"/>
          <w:sz w:val="24"/>
        </w:rPr>
      </w:pPr>
      <w:bookmarkStart w:id="76" w:name="_Toc73521669"/>
      <w:bookmarkStart w:id="77" w:name="_Toc73517673"/>
      <w:bookmarkStart w:id="78" w:name="_Toc100052400"/>
      <w:bookmarkStart w:id="79" w:name="_Toc73518151"/>
      <w:bookmarkStart w:id="80" w:name="_Toc73521581"/>
      <w:r>
        <w:rPr>
          <w:rFonts w:hint="eastAsia" w:ascii="黑体" w:hAnsi="宋体" w:eastAsia="黑体"/>
          <w:sz w:val="24"/>
        </w:rPr>
        <w:t>34．错误的修正</w:t>
      </w:r>
      <w:bookmarkEnd w:id="76"/>
      <w:bookmarkEnd w:id="77"/>
      <w:bookmarkEnd w:id="78"/>
      <w:bookmarkEnd w:id="79"/>
      <w:bookmarkEnd w:id="80"/>
    </w:p>
    <w:p>
      <w:pPr>
        <w:spacing w:after="60" w:line="360" w:lineRule="auto"/>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spacing w:after="60" w:line="360" w:lineRule="auto"/>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spacing w:after="60" w:line="360" w:lineRule="auto"/>
        <w:ind w:firstLine="411" w:firstLineChars="196"/>
        <w:rPr>
          <w:rFonts w:ascii="宋体" w:hAnsi="宋体"/>
          <w:szCs w:val="21"/>
        </w:rPr>
      </w:pPr>
      <w:r>
        <w:rPr>
          <w:rFonts w:hint="eastAsia" w:ascii="宋体" w:hAnsi="宋体"/>
          <w:szCs w:val="21"/>
        </w:rPr>
        <w:t>34.2大写金额和小写金额不一致的，以大写金额为准；</w:t>
      </w:r>
    </w:p>
    <w:p>
      <w:pPr>
        <w:spacing w:after="60" w:line="360" w:lineRule="auto"/>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spacing w:after="60" w:line="360" w:lineRule="auto"/>
        <w:ind w:firstLine="411" w:firstLineChars="196"/>
        <w:rPr>
          <w:rFonts w:ascii="宋体" w:hAnsi="宋体"/>
          <w:szCs w:val="21"/>
        </w:rPr>
      </w:pPr>
      <w:r>
        <w:rPr>
          <w:rFonts w:hint="eastAsia" w:ascii="宋体" w:hAnsi="宋体"/>
          <w:szCs w:val="21"/>
        </w:rPr>
        <w:t>34.4总价金额与按单价汇总金额不一致的，以单价金额计算结果为准。</w:t>
      </w:r>
    </w:p>
    <w:p>
      <w:pPr>
        <w:spacing w:after="60" w:line="360" w:lineRule="auto"/>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spacing w:after="60" w:line="360" w:lineRule="auto"/>
        <w:rPr>
          <w:rFonts w:ascii="黑体" w:hAnsi="宋体" w:eastAsia="黑体"/>
          <w:sz w:val="24"/>
        </w:rPr>
      </w:pPr>
      <w:r>
        <w:rPr>
          <w:rFonts w:hint="eastAsia" w:ascii="黑体" w:hAnsi="宋体" w:eastAsia="黑体"/>
          <w:sz w:val="24"/>
        </w:rPr>
        <w:t>35．投标文件的比较与评价</w:t>
      </w:r>
    </w:p>
    <w:p>
      <w:pPr>
        <w:spacing w:after="60" w:line="360" w:lineRule="auto"/>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pPr>
        <w:spacing w:after="60" w:line="360" w:lineRule="auto"/>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评审委员会成员对需要共同认定的事项存在争议的，应当按照少数服从多数的原则作出结论。持不同意见的评审委员会成员应当在评标报告上签署不同意见及理由，否则视为同意评标报告。</w:t>
      </w:r>
    </w:p>
    <w:p>
      <w:pPr>
        <w:spacing w:after="60" w:line="360" w:lineRule="auto"/>
        <w:rPr>
          <w:rFonts w:ascii="黑体" w:hAnsi="宋体" w:eastAsia="黑体"/>
          <w:sz w:val="24"/>
        </w:rPr>
      </w:pPr>
      <w:r>
        <w:rPr>
          <w:rFonts w:hint="eastAsia" w:ascii="黑体" w:hAnsi="宋体" w:eastAsia="黑体"/>
          <w:sz w:val="24"/>
        </w:rPr>
        <w:t>36. 实地考察、演示或设备测试</w:t>
      </w:r>
    </w:p>
    <w:p>
      <w:pPr>
        <w:spacing w:after="60" w:line="360" w:lineRule="auto"/>
        <w:ind w:firstLine="411" w:firstLineChars="196"/>
        <w:rPr>
          <w:rFonts w:ascii="宋体" w:hAnsi="宋体"/>
          <w:szCs w:val="21"/>
        </w:rPr>
      </w:pPr>
      <w:r>
        <w:rPr>
          <w:rFonts w:hint="eastAsia" w:ascii="宋体" w:hAnsi="宋体"/>
          <w:szCs w:val="21"/>
        </w:rPr>
        <w:t>36.1在招标过程中，评审委员会有权决定是否对本项目投标人进行现场勘察或实地考察或检验有关证明材料的原件。投标人应随时做好接受检查的准备。</w:t>
      </w:r>
    </w:p>
    <w:p>
      <w:pPr>
        <w:spacing w:after="60" w:line="360" w:lineRule="auto"/>
        <w:ind w:firstLine="411" w:firstLineChars="196"/>
        <w:rPr>
          <w:rFonts w:ascii="宋体" w:hAnsi="宋体"/>
          <w:szCs w:val="21"/>
        </w:rPr>
      </w:pPr>
      <w:r>
        <w:rPr>
          <w:rFonts w:hint="eastAsia" w:ascii="宋体" w:hAnsi="宋体"/>
          <w:szCs w:val="21"/>
        </w:rPr>
        <w:t>36.2若招标文件要求进行现场演示或设备测试的，投标人应做好相应准备。</w:t>
      </w:r>
    </w:p>
    <w:p>
      <w:pPr>
        <w:spacing w:after="60" w:line="360" w:lineRule="auto"/>
        <w:rPr>
          <w:rFonts w:ascii="黑体" w:hAnsi="宋体" w:eastAsia="黑体"/>
          <w:sz w:val="24"/>
        </w:rPr>
      </w:pPr>
      <w:r>
        <w:rPr>
          <w:rFonts w:hint="eastAsia" w:ascii="黑体" w:hAnsi="宋体" w:eastAsia="黑体"/>
          <w:sz w:val="24"/>
        </w:rPr>
        <w:t>37．评标方法</w:t>
      </w:r>
    </w:p>
    <w:p>
      <w:pPr>
        <w:spacing w:after="60" w:line="360" w:lineRule="auto"/>
        <w:ind w:firstLine="413" w:firstLineChars="196"/>
        <w:rPr>
          <w:rFonts w:ascii="宋体" w:hAnsi="宋体"/>
          <w:b/>
          <w:bCs/>
          <w:szCs w:val="21"/>
        </w:rPr>
      </w:pPr>
      <w:r>
        <w:rPr>
          <w:rFonts w:hint="eastAsia" w:ascii="宋体" w:hAnsi="宋体"/>
          <w:b/>
          <w:bCs/>
          <w:szCs w:val="21"/>
        </w:rPr>
        <w:t>37.1.1最低价法</w:t>
      </w:r>
    </w:p>
    <w:p>
      <w:pPr>
        <w:spacing w:after="60" w:line="360" w:lineRule="auto"/>
        <w:ind w:firstLine="411" w:firstLineChars="196"/>
        <w:rPr>
          <w:rFonts w:ascii="ˎ̥" w:hAnsi="ˎ̥"/>
        </w:rPr>
      </w:pPr>
      <w:r>
        <w:rPr>
          <w:rFonts w:ascii="ˎ̥" w:hAnsi="ˎ̥"/>
        </w:rPr>
        <w:t>最低评标价法，是指投标文件满足招标文件全部实质性要求，</w:t>
      </w:r>
      <w:r>
        <w:rPr>
          <w:rFonts w:hint="eastAsia" w:ascii="ˎ̥" w:hAnsi="ˎ̥"/>
        </w:rPr>
        <w:t>按报价进行排序</w:t>
      </w:r>
      <w:r>
        <w:rPr>
          <w:rFonts w:ascii="ˎ̥" w:hAnsi="ˎ̥"/>
        </w:rPr>
        <w:t>且投标报价最低的投标人为中标</w:t>
      </w:r>
      <w:r>
        <w:rPr>
          <w:rFonts w:hint="eastAsia" w:ascii="ˎ̥" w:hAnsi="ˎ̥"/>
        </w:rPr>
        <w:t>候选人</w:t>
      </w:r>
      <w:r>
        <w:rPr>
          <w:rFonts w:ascii="ˎ̥" w:hAnsi="ˎ̥"/>
        </w:rPr>
        <w:t>的评标方法（</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p>
    <w:p>
      <w:pPr>
        <w:spacing w:after="60" w:line="360" w:lineRule="auto"/>
        <w:ind w:firstLine="413" w:firstLineChars="196"/>
        <w:rPr>
          <w:rFonts w:ascii="宋体" w:hAnsi="宋体"/>
          <w:b/>
          <w:bCs/>
          <w:szCs w:val="21"/>
        </w:rPr>
      </w:pPr>
      <w:r>
        <w:rPr>
          <w:rFonts w:hint="eastAsia" w:ascii="宋体" w:hAnsi="宋体"/>
          <w:b/>
          <w:bCs/>
          <w:szCs w:val="21"/>
        </w:rPr>
        <w:t>37.1.2综合评分法</w:t>
      </w:r>
    </w:p>
    <w:p>
      <w:pPr>
        <w:spacing w:after="60" w:line="360" w:lineRule="auto"/>
        <w:ind w:firstLine="411" w:firstLineChars="196"/>
        <w:rPr>
          <w:rFonts w:ascii="ˎ̥" w:hAnsi="ˎ̥"/>
        </w:rPr>
      </w:pPr>
      <w:r>
        <w:rPr>
          <w:rFonts w:ascii="ˎ̥" w:hAnsi="ˎ̥"/>
        </w:rPr>
        <w:t>综合评分法，是指投标文件满足招标文件全部实质性要求，且按照评审因素的量化指标评审得分最高的投标人为中标</w:t>
      </w:r>
      <w:r>
        <w:rPr>
          <w:rFonts w:hint="eastAsia" w:ascii="ˎ̥" w:hAnsi="ˎ̥"/>
        </w:rPr>
        <w:t>候选人</w:t>
      </w:r>
      <w:r>
        <w:rPr>
          <w:rFonts w:ascii="ˎ̥" w:hAnsi="ˎ̥"/>
        </w:rPr>
        <w:t>的评标方法</w:t>
      </w:r>
      <w:r>
        <w:t>（</w:t>
      </w:r>
      <w:r>
        <w:rPr>
          <w:rFonts w:hint="eastAsia"/>
        </w:rPr>
        <w:t>排名</w:t>
      </w:r>
      <w:r>
        <w:t>第二</w:t>
      </w:r>
      <w:r>
        <w:rPr>
          <w:rFonts w:hint="eastAsia"/>
        </w:rPr>
        <w:t>的投标人为第一递补中标候选人、排名</w:t>
      </w:r>
      <w:r>
        <w:t>第</w:t>
      </w:r>
      <w:r>
        <w:rPr>
          <w:rFonts w:hint="eastAsia"/>
        </w:rPr>
        <w:t>三的投标人为第二递补中标候选人</w:t>
      </w:r>
      <w:r>
        <w:t>）</w:t>
      </w:r>
      <w:r>
        <w:rPr>
          <w:rFonts w:ascii="ˎ̥" w:hAnsi="ˎ̥"/>
        </w:rPr>
        <w:t>。</w:t>
      </w:r>
    </w:p>
    <w:p>
      <w:pPr>
        <w:spacing w:after="60" w:line="360" w:lineRule="auto"/>
        <w:ind w:firstLine="413" w:firstLineChars="196"/>
        <w:rPr>
          <w:rFonts w:ascii="宋体" w:hAnsi="宋体"/>
          <w:b/>
          <w:bCs/>
          <w:szCs w:val="21"/>
        </w:rPr>
      </w:pPr>
      <w:r>
        <w:rPr>
          <w:rFonts w:hint="eastAsia" w:ascii="宋体" w:hAnsi="宋体"/>
          <w:b/>
          <w:bCs/>
          <w:szCs w:val="21"/>
        </w:rPr>
        <w:t>37.1.3定性评审法</w:t>
      </w:r>
    </w:p>
    <w:p>
      <w:pPr>
        <w:spacing w:after="60" w:line="360" w:lineRule="auto"/>
        <w:ind w:firstLine="411" w:firstLineChars="196"/>
        <w:rPr>
          <w:rFonts w:ascii="ˎ̥" w:hAnsi="ˎ̥"/>
        </w:rPr>
      </w:pPr>
      <w:r>
        <w:rPr>
          <w:rFonts w:ascii="宋体" w:hAnsi="宋体" w:cs="宋体"/>
          <w:kern w:val="0"/>
          <w:szCs w:val="21"/>
        </w:rPr>
        <w:t>定性评审法</w:t>
      </w:r>
      <w:r>
        <w:rPr>
          <w:rFonts w:hint="eastAsia" w:ascii="宋体" w:hAnsi="宋体" w:cs="宋体"/>
          <w:kern w:val="0"/>
          <w:szCs w:val="21"/>
        </w:rPr>
        <w:t>，是指</w:t>
      </w:r>
      <w:r>
        <w:rPr>
          <w:rFonts w:ascii="宋体" w:hAnsi="宋体" w:cs="宋体"/>
          <w:kern w:val="0"/>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r>
        <w:rPr>
          <w:rFonts w:hint="eastAsia" w:ascii="宋体" w:hAnsi="宋体"/>
          <w:bCs/>
          <w:szCs w:val="21"/>
        </w:rPr>
        <w:t xml:space="preserve">                                                                                                                                                                                                                                                                                                                                                                                                                                                                                                                                                                                                                                                                                                                                                                                                                                                                                                                                                                                                                                                                                                                                                                                                                                                                                                                                                                                                                                                                                                                                                                                                                                                                                                                                                                                                                                                                                                                                                                                                                                                                                                                                                                                                                                                                                                                                                                                                                                                                                                                                                                                                                                                                                                                                                                                                                                                                                                                                                                                                                                             </w:t>
      </w:r>
    </w:p>
    <w:p>
      <w:pPr>
        <w:spacing w:after="60" w:line="360" w:lineRule="auto"/>
        <w:ind w:firstLine="413" w:firstLineChars="196"/>
        <w:rPr>
          <w:rFonts w:ascii="宋体" w:hAnsi="宋体"/>
          <w:b/>
          <w:bCs/>
          <w:szCs w:val="21"/>
        </w:rPr>
      </w:pPr>
      <w:r>
        <w:rPr>
          <w:rFonts w:hint="eastAsia" w:ascii="宋体" w:hAnsi="宋体"/>
          <w:b/>
          <w:bCs/>
          <w:szCs w:val="21"/>
        </w:rPr>
        <w:t>37.2 本项目采用的评标方法见本项目招标文件 “专用条款”的相关内容。</w:t>
      </w:r>
    </w:p>
    <w:p>
      <w:pPr>
        <w:spacing w:after="60" w:line="360" w:lineRule="auto"/>
        <w:ind w:firstLine="413" w:firstLineChars="196"/>
        <w:rPr>
          <w:rFonts w:ascii="宋体" w:hAnsi="宋体"/>
          <w:b/>
          <w:bCs/>
          <w:szCs w:val="21"/>
        </w:rPr>
      </w:pPr>
      <w:r>
        <w:rPr>
          <w:rFonts w:hint="eastAsia" w:ascii="宋体" w:hAnsi="宋体"/>
          <w:b/>
          <w:bCs/>
          <w:szCs w:val="21"/>
        </w:rPr>
        <w:t>37.3重新评审的情形</w:t>
      </w:r>
    </w:p>
    <w:p>
      <w:pPr>
        <w:spacing w:after="60" w:line="360" w:lineRule="auto"/>
        <w:ind w:firstLine="411" w:firstLineChars="196"/>
        <w:rPr>
          <w:rFonts w:ascii="宋体" w:hAnsi="宋体"/>
          <w:b/>
          <w:bCs/>
          <w:szCs w:val="21"/>
        </w:rPr>
      </w:pPr>
      <w:r>
        <w:rPr>
          <w:rFonts w:hint="eastAsia" w:ascii="宋体" w:hAnsi="宋体" w:cs="宋体"/>
          <w:kern w:val="0"/>
          <w:szCs w:val="21"/>
        </w:rPr>
        <w:t>评标结果汇总完成后，除下列情形外，任何人不得修改评标结果：</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37.3.1分值汇总计算错误的；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pPr>
        <w:spacing w:after="60" w:line="360" w:lineRule="auto"/>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投标人对本条第一款情形提出质疑的，采购人或者采购代理机构可以组织原评审委员会进行重新评审，重新评审改变评标结果的，应当书面报告本级财政部门。</w:t>
      </w:r>
    </w:p>
    <w:p>
      <w:pPr>
        <w:spacing w:after="60" w:line="360" w:lineRule="auto"/>
        <w:ind w:firstLine="413" w:firstLineChars="196"/>
        <w:rPr>
          <w:rFonts w:ascii="宋体" w:hAnsi="宋体"/>
          <w:b/>
          <w:bCs/>
          <w:szCs w:val="21"/>
        </w:rPr>
      </w:pPr>
      <w:r>
        <w:rPr>
          <w:rFonts w:hint="eastAsia" w:ascii="宋体" w:hAnsi="宋体"/>
          <w:b/>
          <w:bCs/>
          <w:szCs w:val="21"/>
        </w:rPr>
        <w:t xml:space="preserve"> 37.4重新组建评审委员会的情形</w:t>
      </w:r>
    </w:p>
    <w:p>
      <w:pPr>
        <w:spacing w:after="60" w:line="360" w:lineRule="auto"/>
        <w:ind w:firstLine="411" w:firstLineChars="196"/>
        <w:rPr>
          <w:rFonts w:ascii="宋体" w:hAnsi="宋体" w:cs="宋体"/>
          <w:kern w:val="0"/>
          <w:szCs w:val="21"/>
        </w:rPr>
      </w:pPr>
      <w:r>
        <w:rPr>
          <w:rFonts w:hint="eastAsia" w:ascii="宋体" w:hAnsi="宋体" w:cs="宋体"/>
          <w:kern w:val="0"/>
          <w:szCs w:val="21"/>
        </w:rPr>
        <w:t>评审委员会或者其成员存在下列情形导致评标结果无效的，重新组建评审委员会进行评标，并书面报告本级财政部门：</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spacing w:after="60" w:line="360" w:lineRule="auto"/>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spacing w:after="60" w:line="360" w:lineRule="auto"/>
        <w:ind w:firstLine="411" w:firstLineChars="196"/>
        <w:rPr>
          <w:rFonts w:ascii="宋体" w:hAnsi="宋体"/>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第八章  定标及公示</w:t>
      </w:r>
    </w:p>
    <w:p>
      <w:pPr>
        <w:spacing w:after="60" w:line="360" w:lineRule="auto"/>
        <w:rPr>
          <w:rFonts w:ascii="黑体" w:hAnsi="宋体" w:eastAsia="黑体"/>
          <w:sz w:val="24"/>
        </w:rPr>
      </w:pPr>
      <w:r>
        <w:rPr>
          <w:rFonts w:hint="eastAsia" w:ascii="黑体" w:hAnsi="宋体" w:eastAsia="黑体"/>
          <w:sz w:val="24"/>
        </w:rPr>
        <w:t>38．定标方法</w:t>
      </w:r>
    </w:p>
    <w:p>
      <w:pPr>
        <w:spacing w:after="60" w:line="360" w:lineRule="auto"/>
        <w:ind w:firstLine="411" w:firstLineChars="196"/>
        <w:rPr>
          <w:rFonts w:ascii="宋体" w:hAnsi="宋体"/>
          <w:szCs w:val="21"/>
        </w:rPr>
      </w:pPr>
      <w:r>
        <w:rPr>
          <w:rFonts w:hint="eastAsia" w:ascii="宋体" w:hAnsi="宋体"/>
          <w:szCs w:val="21"/>
        </w:rPr>
        <w:t>38.1非评定分离项目定标方法</w:t>
      </w:r>
    </w:p>
    <w:p>
      <w:pPr>
        <w:spacing w:after="60" w:line="360" w:lineRule="auto"/>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1.1评审委员会依据本项目招标文件所约定的评标方法进行评审和比较，向采购实施机构提交书面评标报告，并根据评标方法比较评价结果从优到劣进行排序，确定中标供应商及中标候选人。</w:t>
      </w:r>
    </w:p>
    <w:p>
      <w:pPr>
        <w:spacing w:after="60" w:line="360" w:lineRule="auto"/>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采用最低评标价法的，评标结果按投标报价由低到高顺序排列。投标报价相同的并列。投标文件满足招标文件全部实质性要求且投标报价最低的</w:t>
      </w:r>
      <w:r>
        <w:rPr>
          <w:rFonts w:hint="eastAsia" w:ascii="ˎ̥" w:hAnsi="ˎ̥"/>
        </w:rPr>
        <w:t>投标人为</w:t>
      </w:r>
      <w:r>
        <w:rPr>
          <w:rFonts w:ascii="ˎ̥" w:hAnsi="ˎ̥"/>
        </w:rPr>
        <w:t>排名第一的中标候选人（</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p>
    <w:p>
      <w:pPr>
        <w:spacing w:after="60" w:line="360" w:lineRule="auto"/>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w:t>
      </w:r>
      <w:r>
        <w:rPr>
          <w:rFonts w:hint="eastAsia" w:asciiTheme="minorEastAsia" w:hAnsiTheme="minorEastAsia" w:eastAsiaTheme="minorEastAsia"/>
          <w:szCs w:val="21"/>
        </w:rPr>
        <w:t>得分且投标报价相同的，按技术指标优劣顺序排列</w:t>
      </w:r>
      <w:r>
        <w:rPr>
          <w:rFonts w:ascii="ˎ̥" w:hAnsi="ˎ̥"/>
        </w:rPr>
        <w:t>。投标文件满足招标文件全部实质性要求，且按照评审因素的量化指标评审得分最高的投标人为为排名第一的中标候选人（</w:t>
      </w:r>
      <w:r>
        <w:rPr>
          <w:rFonts w:hint="eastAsia" w:ascii="ˎ̥" w:hAnsi="ˎ̥"/>
        </w:rPr>
        <w:t>排名</w:t>
      </w:r>
      <w:r>
        <w:rPr>
          <w:rFonts w:ascii="ˎ̥" w:hAnsi="ˎ̥"/>
        </w:rPr>
        <w:t>第二</w:t>
      </w:r>
      <w:r>
        <w:rPr>
          <w:rFonts w:hint="eastAsia" w:ascii="ˎ̥" w:hAnsi="ˎ̥"/>
        </w:rPr>
        <w:t>的投标人为第一递补中标候选人、排名</w:t>
      </w:r>
      <w:r>
        <w:rPr>
          <w:rFonts w:ascii="ˎ̥" w:hAnsi="ˎ̥"/>
        </w:rPr>
        <w:t>第</w:t>
      </w:r>
      <w:r>
        <w:rPr>
          <w:rFonts w:hint="eastAsia" w:ascii="ˎ̥" w:hAnsi="ˎ̥"/>
        </w:rPr>
        <w:t>三的投标人为第二递补中标候选人</w:t>
      </w:r>
      <w:r>
        <w:rPr>
          <w:rFonts w:ascii="ˎ̥" w:hAnsi="ˎ̥"/>
        </w:rPr>
        <w:t>）。</w:t>
      </w:r>
      <w:r>
        <w:rPr>
          <w:rFonts w:hint="eastAsia" w:ascii="ˎ̥" w:hAnsi="ˎ̥"/>
        </w:rPr>
        <w:t>出现</w:t>
      </w:r>
      <w:r>
        <w:rPr>
          <w:rFonts w:ascii="ˎ̥" w:hAnsi="ˎ̥"/>
        </w:rPr>
        <w:t>得分</w:t>
      </w:r>
      <w:r>
        <w:rPr>
          <w:rFonts w:hint="eastAsia" w:ascii="ˎ̥" w:hAnsi="ˎ̥"/>
        </w:rPr>
        <w:t>相同、</w:t>
      </w:r>
      <w:r>
        <w:rPr>
          <w:rFonts w:ascii="ˎ̥" w:hAnsi="ˎ̥"/>
        </w:rPr>
        <w:t>投标报价相同</w:t>
      </w:r>
      <w:r>
        <w:rPr>
          <w:rFonts w:hint="eastAsia" w:ascii="ˎ̥" w:hAnsi="ˎ̥"/>
        </w:rPr>
        <w:t>、技术指标优劣顺序相同时，采取随机抽取的方式确定，具体操作办法及流程由评审委员会确定。</w:t>
      </w:r>
    </w:p>
    <w:p>
      <w:pPr>
        <w:spacing w:after="60" w:line="360" w:lineRule="auto"/>
        <w:ind w:firstLine="411" w:firstLineChars="196"/>
        <w:rPr>
          <w:rFonts w:ascii="宋体" w:hAnsi="宋体"/>
          <w:szCs w:val="21"/>
        </w:rPr>
      </w:pPr>
      <w:r>
        <w:rPr>
          <w:rFonts w:hint="eastAsia" w:ascii="宋体" w:hAnsi="宋体"/>
          <w:szCs w:val="21"/>
        </w:rPr>
        <w:t>38.2评定分离项目定标方法</w:t>
      </w:r>
    </w:p>
    <w:p>
      <w:pPr>
        <w:spacing w:after="60" w:line="360" w:lineRule="auto"/>
        <w:ind w:firstLine="411" w:firstLineChars="196"/>
        <w:rPr>
          <w:rFonts w:ascii="宋体" w:hAnsi="宋体"/>
          <w:szCs w:val="21"/>
        </w:rPr>
      </w:pPr>
      <w:r>
        <w:rPr>
          <w:rFonts w:hint="eastAsia" w:ascii="宋体" w:hAnsi="宋体"/>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专用条款的内容。</w:t>
      </w:r>
    </w:p>
    <w:p>
      <w:pPr>
        <w:spacing w:after="60" w:line="360" w:lineRule="auto"/>
        <w:ind w:firstLine="411" w:firstLineChars="196"/>
        <w:rPr>
          <w:rFonts w:ascii="宋体" w:hAnsi="宋体"/>
          <w:szCs w:val="21"/>
        </w:rPr>
      </w:pPr>
      <w:r>
        <w:rPr>
          <w:rFonts w:hint="eastAsia" w:ascii="宋体" w:hAnsi="宋体"/>
          <w:szCs w:val="21"/>
        </w:rPr>
        <w:t>38.2.2采用“综合评分法”评审方法的项目，评审委员会按照评审结果，依照招标文件专用条款的内容推荐相应数量的候选中标供应商。</w:t>
      </w:r>
    </w:p>
    <w:p>
      <w:pPr>
        <w:spacing w:after="60" w:line="360" w:lineRule="auto"/>
        <w:ind w:firstLine="411" w:firstLineChars="196"/>
        <w:rPr>
          <w:rFonts w:ascii="宋体" w:hAnsi="宋体"/>
          <w:szCs w:val="21"/>
        </w:rPr>
      </w:pPr>
      <w:r>
        <w:rPr>
          <w:rFonts w:hint="eastAsia" w:ascii="宋体" w:hAnsi="宋体"/>
          <w:szCs w:val="21"/>
        </w:rPr>
        <w:t>38.2.3采购人应当按照自定法确定中标供应商：自定法是指采购人组织定标委员会，由定标委员会在候选中标供应商中确定中标供应商。</w:t>
      </w:r>
    </w:p>
    <w:p>
      <w:pPr>
        <w:spacing w:after="60" w:line="360" w:lineRule="auto"/>
        <w:ind w:firstLine="411" w:firstLineChars="196"/>
        <w:rPr>
          <w:rFonts w:ascii="宋体" w:hAnsi="宋体"/>
          <w:szCs w:val="21"/>
        </w:rPr>
      </w:pPr>
      <w:r>
        <w:rPr>
          <w:rFonts w:ascii="宋体" w:hAnsi="宋体"/>
          <w:szCs w:val="21"/>
        </w:rPr>
        <w:t>38.</w:t>
      </w:r>
      <w:r>
        <w:rPr>
          <w:rFonts w:hint="eastAsia" w:ascii="宋体" w:hAnsi="宋体"/>
          <w:szCs w:val="21"/>
        </w:rPr>
        <w:t>2.3.1自定法。</w:t>
      </w:r>
    </w:p>
    <w:p>
      <w:pPr>
        <w:spacing w:after="60" w:line="360" w:lineRule="auto"/>
        <w:ind w:firstLine="411" w:firstLineChars="196"/>
        <w:rPr>
          <w:rFonts w:ascii="宋体" w:hAnsi="宋体"/>
          <w:szCs w:val="21"/>
        </w:rPr>
      </w:pPr>
      <w:r>
        <w:rPr>
          <w:rFonts w:hint="eastAsia" w:ascii="宋体" w:hAnsi="宋体"/>
          <w:szCs w:val="21"/>
        </w:rPr>
        <w:t>操作程序：</w:t>
      </w:r>
    </w:p>
    <w:p>
      <w:pPr>
        <w:spacing w:after="60" w:line="360" w:lineRule="auto"/>
        <w:ind w:firstLine="411" w:firstLineChars="196"/>
        <w:rPr>
          <w:rFonts w:ascii="宋体" w:hAnsi="宋体"/>
          <w:szCs w:val="21"/>
        </w:rPr>
      </w:pPr>
      <w:r>
        <w:rPr>
          <w:rFonts w:hint="eastAsia" w:ascii="宋体" w:hAnsi="宋体"/>
          <w:szCs w:val="21"/>
        </w:rPr>
        <w:t>①采购实施机构自评审结束之日起2个工作日内通过系统将评审报告送交采购人。</w:t>
      </w:r>
    </w:p>
    <w:p>
      <w:pPr>
        <w:spacing w:after="60" w:line="360" w:lineRule="auto"/>
        <w:ind w:firstLine="411" w:firstLineChars="196"/>
        <w:rPr>
          <w:rFonts w:ascii="宋体" w:hAnsi="宋体"/>
          <w:szCs w:val="21"/>
        </w:rPr>
      </w:pPr>
      <w:r>
        <w:rPr>
          <w:rFonts w:hint="eastAsia" w:ascii="宋体" w:hAnsi="宋体"/>
          <w:szCs w:val="21"/>
        </w:rPr>
        <w:t>②采购人应当自收到评审报告之日起3个工作日内，组成定标委员会，召开定标会并确定中标供应商（中标供应商的具体数量由采购人在项目申报时确定并在招标文件中体现）。重大项目的定标委员会应当由采购人领导班子组成；</w:t>
      </w:r>
      <w:r>
        <w:rPr>
          <w:rFonts w:hint="eastAsia"/>
          <w:szCs w:val="21"/>
        </w:rPr>
        <w:t>特定品目项目（非重大项目）的定标委员会可以由单位中层以上管理人员、具有与所采购项目专业领域中级以上职称人员、采购责任机构负责人等人员组成。在充分讨论的基础上，定标委员会可采取口头表决、举手表决或者无记名投票等方式进行表决。候选中标供应商的得票数超过成员半数的，方可确定为中标供应商。</w:t>
      </w:r>
      <w:r>
        <w:rPr>
          <w:rFonts w:hint="eastAsia" w:ascii="宋体" w:hAnsi="宋体"/>
          <w:szCs w:val="21"/>
        </w:rPr>
        <w:t>中标供应商的确定流程：网上具体操作时，在结束辅助评标后，采购实施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pPr>
        <w:spacing w:after="60" w:line="360" w:lineRule="auto"/>
        <w:ind w:firstLine="411" w:firstLineChars="196"/>
        <w:rPr>
          <w:rFonts w:ascii="宋体" w:hAnsi="宋体"/>
          <w:szCs w:val="21"/>
        </w:rPr>
      </w:pPr>
      <w:r>
        <w:rPr>
          <w:rFonts w:hint="eastAsia" w:ascii="宋体" w:hAnsi="宋体"/>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pPr>
        <w:spacing w:after="60" w:line="360" w:lineRule="auto"/>
        <w:ind w:firstLine="411" w:firstLineChars="196"/>
        <w:rPr>
          <w:rFonts w:ascii="宋体" w:hAnsi="宋体"/>
          <w:szCs w:val="21"/>
        </w:rPr>
      </w:pPr>
      <w:r>
        <w:rPr>
          <w:rFonts w:hint="eastAsia" w:ascii="宋体" w:hAnsi="宋体"/>
          <w:szCs w:val="21"/>
        </w:rPr>
        <w:t>④采购人应当在公示结束后3个工作日内，通过系统将定标报告送采购实施机构备案。定标报告包括但不限于定标委员会候选人员名单、正式成员名单、定标委员会的产生过程、定标程序及定标结果等内容。</w:t>
      </w:r>
    </w:p>
    <w:p>
      <w:pPr>
        <w:spacing w:after="60" w:line="360" w:lineRule="auto"/>
        <w:ind w:firstLine="411" w:firstLineChars="196"/>
        <w:rPr>
          <w:rFonts w:ascii="宋体" w:hAnsi="宋体"/>
          <w:szCs w:val="21"/>
        </w:rPr>
      </w:pPr>
      <w:r>
        <w:rPr>
          <w:rFonts w:hint="eastAsia" w:ascii="宋体" w:hAnsi="宋体"/>
          <w:szCs w:val="21"/>
        </w:rPr>
        <w:t>⑤采购人逾期不确定的，采购实施机构将报主管部门处理，处理期间不计入采购期间。</w:t>
      </w:r>
    </w:p>
    <w:p>
      <w:pPr>
        <w:spacing w:after="60" w:line="360" w:lineRule="auto"/>
        <w:ind w:firstLine="411" w:firstLineChars="196"/>
        <w:rPr>
          <w:rFonts w:ascii="宋体" w:hAnsi="宋体"/>
          <w:szCs w:val="21"/>
        </w:rPr>
      </w:pPr>
      <w:r>
        <w:rPr>
          <w:rFonts w:hint="eastAsia" w:ascii="宋体" w:hAnsi="宋体"/>
          <w:szCs w:val="21"/>
        </w:rPr>
        <w:t>说明：采购人及投标供应商应按照上述方法提前做好相关准备。</w:t>
      </w:r>
    </w:p>
    <w:p>
      <w:pPr>
        <w:spacing w:after="60" w:line="360" w:lineRule="auto"/>
        <w:ind w:firstLine="411" w:firstLineChars="196"/>
        <w:rPr>
          <w:rFonts w:ascii="宋体" w:hAnsi="宋体"/>
          <w:szCs w:val="21"/>
        </w:rPr>
      </w:pPr>
      <w:r>
        <w:rPr>
          <w:rFonts w:hint="eastAsia" w:ascii="宋体" w:hAnsi="宋体"/>
          <w:szCs w:val="21"/>
        </w:rPr>
        <w:t>38.3专用条款另有规定的，按专用条款相关要求定标。</w:t>
      </w:r>
    </w:p>
    <w:p>
      <w:pPr>
        <w:spacing w:after="60" w:line="360" w:lineRule="auto"/>
        <w:rPr>
          <w:rFonts w:ascii="黑体" w:hAnsi="宋体" w:eastAsia="黑体"/>
          <w:sz w:val="24"/>
        </w:rPr>
      </w:pPr>
      <w:r>
        <w:rPr>
          <w:rFonts w:hint="eastAsia" w:ascii="黑体" w:hAnsi="宋体" w:eastAsia="黑体"/>
          <w:sz w:val="24"/>
        </w:rPr>
        <w:t>39．编写评标报告</w:t>
      </w:r>
    </w:p>
    <w:p>
      <w:pPr>
        <w:spacing w:after="60" w:line="360" w:lineRule="auto"/>
        <w:ind w:firstLine="411" w:firstLineChars="196"/>
        <w:rPr>
          <w:rFonts w:ascii="宋体" w:hAnsi="宋体"/>
          <w:szCs w:val="21"/>
        </w:rPr>
      </w:pPr>
      <w:r>
        <w:rPr>
          <w:rFonts w:hint="eastAsia" w:ascii="宋体" w:hAnsi="宋体"/>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pPr>
        <w:spacing w:after="60" w:line="360" w:lineRule="auto"/>
        <w:rPr>
          <w:rFonts w:ascii="黑体" w:hAnsi="宋体" w:eastAsia="黑体"/>
          <w:sz w:val="24"/>
        </w:rPr>
      </w:pPr>
      <w:r>
        <w:rPr>
          <w:rFonts w:hint="eastAsia" w:ascii="黑体" w:hAnsi="宋体" w:eastAsia="黑体"/>
          <w:sz w:val="24"/>
        </w:rPr>
        <w:t>40．中标公告</w:t>
      </w:r>
    </w:p>
    <w:p>
      <w:pPr>
        <w:wordWrap w:val="0"/>
        <w:spacing w:after="60" w:line="360" w:lineRule="auto"/>
        <w:ind w:firstLine="411" w:firstLineChars="196"/>
        <w:rPr>
          <w:rFonts w:ascii="宋体" w:hAnsi="宋体"/>
          <w:szCs w:val="21"/>
        </w:rPr>
      </w:pPr>
      <w:r>
        <w:rPr>
          <w:rFonts w:hint="eastAsia" w:ascii="宋体" w:hAnsi="宋体"/>
          <w:szCs w:val="21"/>
        </w:rPr>
        <w:t>40.1为体现“公开、公平、公正”的原则，评标结束后，采购实施机构将在“</w:t>
      </w:r>
      <w:r>
        <w:rPr>
          <w:rFonts w:hint="eastAsia" w:asciiTheme="minorEastAsia" w:hAnsiTheme="minorEastAsia" w:eastAsiaTheme="minorEastAsia"/>
        </w:rPr>
        <w:t>深圳公共资源交易中心深圳交易集团有限公司政府采购业务分公司网（</w:t>
      </w:r>
      <w:r>
        <w:rPr>
          <w:rFonts w:asciiTheme="minorEastAsia" w:hAnsiTheme="minorEastAsia" w:eastAsiaTheme="minorEastAsia"/>
        </w:rPr>
        <w:t>http://www.szzfcg.cn/</w:t>
      </w:r>
      <w:r>
        <w:rPr>
          <w:rFonts w:hint="eastAsia" w:asciiTheme="minorEastAsia" w:hAnsiTheme="minorEastAsia" w:eastAsiaTheme="minorEastAsia"/>
        </w:rPr>
        <w:t>）</w:t>
      </w:r>
      <w:r>
        <w:rPr>
          <w:rFonts w:hint="eastAsia" w:ascii="宋体" w:hAnsi="宋体"/>
          <w:szCs w:val="21"/>
        </w:rPr>
        <w:t>”及“深圳高星项目管理有限公司网站（</w:t>
      </w:r>
      <w:r>
        <w:rPr>
          <w:rFonts w:ascii="宋体" w:hAnsi="宋体"/>
          <w:szCs w:val="21"/>
        </w:rPr>
        <w:t>http://www.gzgxgw.com/</w:t>
      </w:r>
      <w:r>
        <w:rPr>
          <w:rFonts w:hint="eastAsia" w:ascii="宋体" w:hAnsi="宋体"/>
          <w:szCs w:val="21"/>
        </w:rPr>
        <w:t>）”上发布中标结果公告。供应商如对评标结果有异议，</w:t>
      </w:r>
      <w:r>
        <w:rPr>
          <w:rFonts w:ascii="宋体" w:hAnsi="宋体"/>
          <w:szCs w:val="21"/>
        </w:rPr>
        <w:t>可在发布公示日期起</w:t>
      </w:r>
      <w:r>
        <w:rPr>
          <w:rFonts w:hint="eastAsia" w:ascii="宋体" w:hAnsi="宋体"/>
          <w:szCs w:val="21"/>
        </w:rPr>
        <w:t>七</w:t>
      </w:r>
      <w:r>
        <w:rPr>
          <w:rFonts w:ascii="宋体" w:hAnsi="宋体"/>
          <w:szCs w:val="21"/>
        </w:rPr>
        <w:t>个工作日内</w:t>
      </w:r>
      <w:r>
        <w:rPr>
          <w:rFonts w:hint="eastAsia" w:ascii="宋体" w:hAnsi="宋体"/>
          <w:szCs w:val="21"/>
        </w:rPr>
        <w:t>用书面形式</w:t>
      </w:r>
      <w:r>
        <w:rPr>
          <w:rFonts w:ascii="宋体" w:hAnsi="宋体"/>
          <w:szCs w:val="21"/>
        </w:rPr>
        <w:t>向</w:t>
      </w:r>
      <w:r>
        <w:rPr>
          <w:rFonts w:hint="eastAsia" w:ascii="宋体" w:hAnsi="宋体"/>
          <w:szCs w:val="21"/>
        </w:rPr>
        <w:t>采购实施机构</w:t>
      </w:r>
      <w:r>
        <w:rPr>
          <w:rFonts w:ascii="宋体" w:hAnsi="宋体"/>
          <w:szCs w:val="21"/>
        </w:rPr>
        <w:t>提出。</w:t>
      </w:r>
      <w:r>
        <w:rPr>
          <w:rFonts w:hint="eastAsia" w:ascii="宋体" w:hAnsi="宋体"/>
          <w:szCs w:val="21"/>
        </w:rPr>
        <w:t>若在公示期内未提出质疑，则视为认同该评标结果。</w:t>
      </w:r>
    </w:p>
    <w:p>
      <w:pPr>
        <w:spacing w:after="60" w:line="360" w:lineRule="auto"/>
        <w:ind w:firstLine="411" w:firstLineChars="196"/>
        <w:rPr>
          <w:rFonts w:ascii="宋体" w:hAnsi="宋体"/>
          <w:szCs w:val="21"/>
        </w:rPr>
      </w:pPr>
      <w:r>
        <w:rPr>
          <w:rFonts w:hint="eastAsia" w:ascii="宋体" w:hAnsi="宋体"/>
          <w:szCs w:val="21"/>
        </w:rPr>
        <w:t>40.2质疑投诉人应保证质疑投诉内容的真实性和可靠性，并承担相应的法律责任。</w:t>
      </w:r>
    </w:p>
    <w:p>
      <w:pPr>
        <w:spacing w:after="60" w:line="360" w:lineRule="auto"/>
        <w:rPr>
          <w:rFonts w:ascii="黑体" w:hAnsi="宋体" w:eastAsia="黑体"/>
          <w:sz w:val="24"/>
        </w:rPr>
      </w:pPr>
      <w:r>
        <w:rPr>
          <w:rFonts w:hint="eastAsia" w:ascii="黑体" w:hAnsi="宋体" w:eastAsia="黑体"/>
          <w:sz w:val="24"/>
        </w:rPr>
        <w:t>41．中标通知书</w:t>
      </w:r>
    </w:p>
    <w:p>
      <w:pPr>
        <w:spacing w:after="60" w:line="360" w:lineRule="auto"/>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1中标公告公布以后,公示期内无有效质疑投诉,采购实施机构将向中标供应商和采购人发布</w:t>
      </w:r>
      <w:r>
        <w:rPr>
          <w:rFonts w:hint="eastAsia" w:ascii="宋体" w:hAnsi="宋体"/>
          <w:b/>
          <w:szCs w:val="21"/>
        </w:rPr>
        <w:t>《中标通知书》</w:t>
      </w:r>
      <w:r>
        <w:rPr>
          <w:rFonts w:hint="eastAsia" w:ascii="宋体" w:hAnsi="宋体"/>
          <w:szCs w:val="21"/>
        </w:rPr>
        <w:t>。</w:t>
      </w:r>
    </w:p>
    <w:p>
      <w:pPr>
        <w:spacing w:after="60" w:line="360" w:lineRule="auto"/>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spacing w:after="60" w:line="360" w:lineRule="auto"/>
        <w:ind w:firstLine="411" w:firstLineChars="196"/>
        <w:rPr>
          <w:rFonts w:ascii="宋体" w:hAnsi="宋体"/>
          <w:szCs w:val="21"/>
        </w:rPr>
      </w:pPr>
      <w:r>
        <w:rPr>
          <w:rFonts w:hint="eastAsia" w:ascii="宋体" w:hAnsi="宋体"/>
          <w:szCs w:val="21"/>
        </w:rPr>
        <w:t>41.3因质疑投诉或其它原因导致项目结果变更或采购终止的，采购实施机构有权吊销中标通知书或终止采购合同。</w:t>
      </w:r>
    </w:p>
    <w:p>
      <w:pPr>
        <w:spacing w:after="60" w:line="360" w:lineRule="auto"/>
        <w:rPr>
          <w:rFonts w:ascii="黑体" w:hAnsi="宋体" w:eastAsia="黑体"/>
          <w:sz w:val="24"/>
        </w:rPr>
      </w:pPr>
      <w:r>
        <w:rPr>
          <w:rFonts w:hint="eastAsia" w:ascii="黑体" w:hAnsi="宋体" w:eastAsia="黑体"/>
          <w:sz w:val="24"/>
        </w:rPr>
        <w:t>42.中标服务费</w:t>
      </w:r>
    </w:p>
    <w:p>
      <w:pPr>
        <w:spacing w:after="60" w:line="360" w:lineRule="auto"/>
        <w:ind w:firstLine="420" w:firstLineChars="200"/>
        <w:rPr>
          <w:rFonts w:ascii="黑体" w:hAnsi="宋体" w:eastAsia="黑体"/>
          <w:sz w:val="24"/>
        </w:rPr>
      </w:pPr>
      <w:r>
        <w:rPr>
          <w:rFonts w:hint="eastAsia" w:asciiTheme="minorEastAsia" w:hAnsiTheme="minorEastAsia" w:eastAsiaTheme="minorEastAsia"/>
          <w:szCs w:val="21"/>
        </w:rPr>
        <w:t>42.1</w:t>
      </w:r>
      <w:r>
        <w:rPr>
          <w:rFonts w:hint="eastAsia" w:asciiTheme="minorEastAsia" w:hAnsiTheme="minorEastAsia" w:eastAsiaTheme="minorEastAsia"/>
        </w:rPr>
        <w:t>根据原国家计委《招标代理服务收费管理暂行办法》（计价格</w:t>
      </w:r>
      <w:r>
        <w:rPr>
          <w:rFonts w:asciiTheme="minorEastAsia" w:hAnsiTheme="minorEastAsia" w:eastAsiaTheme="minorEastAsia"/>
        </w:rPr>
        <w:t>[2002]1980</w:t>
      </w:r>
      <w:r>
        <w:rPr>
          <w:rFonts w:hint="eastAsia" w:asciiTheme="minorEastAsia" w:hAnsiTheme="minorEastAsia" w:eastAsiaTheme="minorEastAsia"/>
        </w:rPr>
        <w:t>号）和国家发改委办公厅《关于招标代理服务收费有关问题的通知》（发改办价格</w:t>
      </w:r>
      <w:r>
        <w:rPr>
          <w:rFonts w:asciiTheme="minorEastAsia" w:hAnsiTheme="minorEastAsia" w:eastAsiaTheme="minorEastAsia"/>
        </w:rPr>
        <w:t>[2003]857</w:t>
      </w:r>
      <w:r>
        <w:rPr>
          <w:rFonts w:hint="eastAsia" w:asciiTheme="minorEastAsia" w:hAnsiTheme="minorEastAsia" w:eastAsiaTheme="minorEastAsia"/>
        </w:rPr>
        <w:t>号）文件相关规定，招标代理服务费以中标金额为基数、按差额定率累进法计算。具体计取费率标准如下表所示：</w:t>
      </w:r>
    </w:p>
    <w:tbl>
      <w:tblPr>
        <w:tblStyle w:val="44"/>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服务类型中标金额</w:t>
            </w:r>
            <w:r>
              <w:rPr>
                <w:rFonts w:asciiTheme="minorEastAsia" w:hAnsiTheme="minorEastAsia" w:eastAsiaTheme="minorEastAsia"/>
                <w:szCs w:val="21"/>
              </w:rPr>
              <w:t>(</w:t>
            </w:r>
            <w:r>
              <w:rPr>
                <w:rFonts w:hint="eastAsia" w:asciiTheme="minorEastAsia" w:hAnsiTheme="minorEastAsia" w:eastAsiaTheme="minorEastAsia"/>
                <w:szCs w:val="21"/>
              </w:rPr>
              <w:t>万元</w:t>
            </w:r>
            <w:r>
              <w:rPr>
                <w:rFonts w:asciiTheme="minorEastAsia" w:hAnsiTheme="minorEastAsia" w:eastAsiaTheme="minorEastAsia"/>
                <w:szCs w:val="21"/>
              </w:rPr>
              <w:t>)</w:t>
            </w:r>
          </w:p>
        </w:tc>
        <w:tc>
          <w:tcPr>
            <w:tcW w:w="1788" w:type="dxa"/>
            <w:vAlign w:val="center"/>
          </w:tcPr>
          <w:p>
            <w:pPr>
              <w:snapToGrid w:val="0"/>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货物招标</w:t>
            </w:r>
          </w:p>
        </w:tc>
        <w:tc>
          <w:tcPr>
            <w:tcW w:w="1788" w:type="dxa"/>
            <w:vAlign w:val="center"/>
          </w:tcPr>
          <w:p>
            <w:pPr>
              <w:snapToGrid w:val="0"/>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服务招标</w:t>
            </w:r>
          </w:p>
        </w:tc>
        <w:tc>
          <w:tcPr>
            <w:tcW w:w="1788" w:type="dxa"/>
            <w:vAlign w:val="center"/>
          </w:tcPr>
          <w:p>
            <w:pPr>
              <w:snapToGrid w:val="0"/>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100</w:t>
            </w:r>
            <w:r>
              <w:rPr>
                <w:rFonts w:hint="eastAsia" w:asciiTheme="minorEastAsia" w:hAnsiTheme="minorEastAsia" w:eastAsiaTheme="minorEastAsia"/>
                <w:szCs w:val="21"/>
              </w:rPr>
              <w:t>以下</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1.50%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1.50%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100-500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1.10%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0.80%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500-1000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0.80%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0.45%</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1000-5000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0.50%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0.25%</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5000-10000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0.25%</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0.10%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10000-100000</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0.05%</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0.05%</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after="60"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1000000</w:t>
            </w:r>
            <w:r>
              <w:rPr>
                <w:rFonts w:hint="eastAsia" w:asciiTheme="minorEastAsia" w:hAnsiTheme="minorEastAsia" w:eastAsiaTheme="minorEastAsia"/>
                <w:szCs w:val="21"/>
              </w:rPr>
              <w:t>以上</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0.01%</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0.01%</w:t>
            </w:r>
          </w:p>
        </w:tc>
        <w:tc>
          <w:tcPr>
            <w:tcW w:w="1788" w:type="dxa"/>
          </w:tcPr>
          <w:p>
            <w:pPr>
              <w:spacing w:after="60" w:line="360" w:lineRule="auto"/>
              <w:ind w:firstLine="420" w:firstLineChars="200"/>
              <w:rPr>
                <w:rFonts w:asciiTheme="minorEastAsia" w:hAnsiTheme="minorEastAsia" w:eastAsiaTheme="minorEastAsia"/>
              </w:rPr>
            </w:pPr>
            <w:r>
              <w:rPr>
                <w:rFonts w:asciiTheme="minorEastAsia" w:hAnsiTheme="minorEastAsia" w:eastAsiaTheme="minorEastAsia"/>
              </w:rPr>
              <w:t>0.01%</w:t>
            </w:r>
          </w:p>
        </w:tc>
      </w:tr>
    </w:tbl>
    <w:p>
      <w:pPr>
        <w:snapToGrid w:val="0"/>
        <w:spacing w:after="60"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例如：某服务招标代理业务中标金额为</w:t>
      </w:r>
      <w:r>
        <w:rPr>
          <w:rFonts w:asciiTheme="minorEastAsia" w:hAnsiTheme="minorEastAsia" w:eastAsiaTheme="minorEastAsia"/>
          <w:szCs w:val="21"/>
        </w:rPr>
        <w:t>600</w:t>
      </w:r>
      <w:r>
        <w:rPr>
          <w:rFonts w:hint="eastAsia" w:asciiTheme="minorEastAsia" w:hAnsiTheme="minorEastAsia" w:eastAsiaTheme="minorEastAsia"/>
          <w:szCs w:val="21"/>
        </w:rPr>
        <w:t>万元，计算招标代理服务收费额如下：</w:t>
      </w:r>
    </w:p>
    <w:p>
      <w:pPr>
        <w:spacing w:after="60" w:line="360" w:lineRule="auto"/>
        <w:ind w:left="840" w:firstLine="420" w:firstLineChars="200"/>
        <w:rPr>
          <w:rFonts w:asciiTheme="minorEastAsia" w:hAnsiTheme="minorEastAsia" w:eastAsiaTheme="minorEastAsia"/>
          <w:szCs w:val="21"/>
        </w:rPr>
      </w:pPr>
      <w:r>
        <w:rPr>
          <w:rFonts w:asciiTheme="minorEastAsia" w:hAnsiTheme="minorEastAsia" w:eastAsiaTheme="minorEastAsia"/>
          <w:szCs w:val="21"/>
        </w:rPr>
        <w:t>100</w:t>
      </w:r>
      <w:r>
        <w:rPr>
          <w:rFonts w:hint="eastAsia" w:asciiTheme="minorEastAsia" w:hAnsiTheme="minorEastAsia" w:eastAsiaTheme="minorEastAsia"/>
          <w:szCs w:val="21"/>
        </w:rPr>
        <w:t>万元×</w:t>
      </w:r>
      <w:r>
        <w:rPr>
          <w:rFonts w:asciiTheme="minorEastAsia" w:hAnsiTheme="minorEastAsia" w:eastAsiaTheme="minorEastAsia"/>
          <w:szCs w:val="21"/>
        </w:rPr>
        <w:t>1.5%=1.5</w:t>
      </w:r>
      <w:r>
        <w:rPr>
          <w:rFonts w:hint="eastAsia" w:asciiTheme="minorEastAsia" w:hAnsiTheme="minorEastAsia" w:eastAsiaTheme="minorEastAsia"/>
          <w:szCs w:val="21"/>
        </w:rPr>
        <w:t>万元</w:t>
      </w:r>
    </w:p>
    <w:p>
      <w:pPr>
        <w:spacing w:after="60" w:line="360" w:lineRule="auto"/>
        <w:ind w:left="840"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500-100</w:t>
      </w:r>
      <w:r>
        <w:rPr>
          <w:rFonts w:hint="eastAsia" w:asciiTheme="minorEastAsia" w:hAnsiTheme="minorEastAsia" w:eastAsiaTheme="minorEastAsia"/>
          <w:szCs w:val="21"/>
        </w:rPr>
        <w:t>）万元×</w:t>
      </w:r>
      <w:r>
        <w:rPr>
          <w:rFonts w:asciiTheme="minorEastAsia" w:hAnsiTheme="minorEastAsia" w:eastAsiaTheme="minorEastAsia"/>
          <w:szCs w:val="21"/>
        </w:rPr>
        <w:t>0.8%=3.2</w:t>
      </w:r>
      <w:r>
        <w:rPr>
          <w:rFonts w:hint="eastAsia" w:asciiTheme="minorEastAsia" w:hAnsiTheme="minorEastAsia" w:eastAsiaTheme="minorEastAsia"/>
          <w:szCs w:val="21"/>
        </w:rPr>
        <w:t>万元</w:t>
      </w:r>
    </w:p>
    <w:p>
      <w:pPr>
        <w:spacing w:after="60" w:line="360" w:lineRule="auto"/>
        <w:ind w:left="840"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600-500</w:t>
      </w:r>
      <w:r>
        <w:rPr>
          <w:rFonts w:hint="eastAsia" w:asciiTheme="minorEastAsia" w:hAnsiTheme="minorEastAsia" w:eastAsiaTheme="minorEastAsia"/>
          <w:szCs w:val="21"/>
        </w:rPr>
        <w:t>）万元×</w:t>
      </w:r>
      <w:r>
        <w:rPr>
          <w:rFonts w:asciiTheme="minorEastAsia" w:hAnsiTheme="minorEastAsia" w:eastAsiaTheme="minorEastAsia"/>
          <w:szCs w:val="21"/>
        </w:rPr>
        <w:t>0.45%=0.45</w:t>
      </w:r>
      <w:r>
        <w:rPr>
          <w:rFonts w:hint="eastAsia" w:asciiTheme="minorEastAsia" w:hAnsiTheme="minorEastAsia" w:eastAsiaTheme="minorEastAsia"/>
          <w:szCs w:val="21"/>
        </w:rPr>
        <w:t>万元</w:t>
      </w:r>
    </w:p>
    <w:p>
      <w:pPr>
        <w:spacing w:after="60" w:line="360" w:lineRule="auto"/>
        <w:ind w:left="840" w:firstLine="420" w:firstLineChars="200"/>
        <w:rPr>
          <w:rFonts w:asciiTheme="minorEastAsia" w:hAnsiTheme="minorEastAsia" w:eastAsiaTheme="minorEastAsia"/>
          <w:szCs w:val="21"/>
        </w:rPr>
      </w:pPr>
      <w:r>
        <w:rPr>
          <w:rFonts w:hint="eastAsia" w:asciiTheme="minorEastAsia" w:hAnsiTheme="minorEastAsia" w:eastAsiaTheme="minorEastAsia"/>
          <w:szCs w:val="21"/>
        </w:rPr>
        <w:t>合计收费</w:t>
      </w:r>
      <w:r>
        <w:rPr>
          <w:rFonts w:asciiTheme="minorEastAsia" w:hAnsiTheme="minorEastAsia" w:eastAsiaTheme="minorEastAsia"/>
          <w:szCs w:val="21"/>
        </w:rPr>
        <w:t>=1.5+3.24+0.45=5.15</w:t>
      </w:r>
      <w:r>
        <w:rPr>
          <w:rFonts w:hint="eastAsia" w:asciiTheme="minorEastAsia" w:hAnsiTheme="minorEastAsia" w:eastAsiaTheme="minorEastAsia"/>
          <w:szCs w:val="21"/>
        </w:rPr>
        <w:t>万元</w:t>
      </w:r>
      <w:r>
        <w:rPr>
          <w:rFonts w:hint="eastAsia" w:asciiTheme="minorEastAsia" w:hAnsiTheme="minorEastAsia" w:eastAsiaTheme="minorEastAsia"/>
        </w:rPr>
        <w:t>；</w:t>
      </w:r>
    </w:p>
    <w:p>
      <w:pPr>
        <w:spacing w:after="60" w:line="360" w:lineRule="auto"/>
        <w:ind w:firstLine="420" w:firstLineChars="200"/>
        <w:rPr>
          <w:rFonts w:ascii="宋体" w:hAnsi="宋体"/>
          <w:szCs w:val="21"/>
        </w:rPr>
      </w:pPr>
      <w:r>
        <w:rPr>
          <w:rFonts w:hint="eastAsia" w:asciiTheme="minorEastAsia" w:hAnsiTheme="minorEastAsia" w:eastAsiaTheme="minorEastAsia"/>
          <w:szCs w:val="21"/>
        </w:rPr>
        <w:t>42</w:t>
      </w:r>
      <w:r>
        <w:rPr>
          <w:rFonts w:asciiTheme="minorEastAsia" w:hAnsiTheme="minorEastAsia" w:eastAsiaTheme="minorEastAsia"/>
          <w:szCs w:val="21"/>
        </w:rPr>
        <w:t>.</w:t>
      </w:r>
      <w:r>
        <w:rPr>
          <w:rFonts w:hint="eastAsia" w:asciiTheme="minorEastAsia" w:hAnsiTheme="minorEastAsia" w:eastAsiaTheme="minorEastAsia"/>
          <w:szCs w:val="21"/>
        </w:rPr>
        <w:t>2</w:t>
      </w:r>
      <w:r>
        <w:rPr>
          <w:rFonts w:hint="eastAsia" w:asciiTheme="minorEastAsia" w:hAnsiTheme="minorEastAsia" w:eastAsiaTheme="minorEastAsia"/>
        </w:rPr>
        <w:t>中标服务费以现金或银行转账形式交付。</w:t>
      </w:r>
    </w:p>
    <w:p>
      <w:pPr>
        <w:spacing w:after="60" w:line="360" w:lineRule="auto"/>
        <w:ind w:firstLine="411" w:firstLineChars="196"/>
        <w:rPr>
          <w:rFonts w:ascii="宋体" w:hAnsi="宋体"/>
          <w:szCs w:val="21"/>
        </w:rPr>
      </w:pPr>
    </w:p>
    <w:p>
      <w:pPr>
        <w:pStyle w:val="3"/>
        <w:tabs>
          <w:tab w:val="left" w:pos="720"/>
        </w:tabs>
        <w:adjustRightInd w:val="0"/>
        <w:spacing w:beforeLines="50" w:afterLines="50" w:line="360" w:lineRule="auto"/>
        <w:jc w:val="center"/>
        <w:textAlignment w:val="baseline"/>
        <w:rPr>
          <w:sz w:val="28"/>
          <w:szCs w:val="28"/>
        </w:rPr>
      </w:pPr>
      <w:r>
        <w:rPr>
          <w:rFonts w:hint="eastAsia"/>
          <w:sz w:val="28"/>
          <w:szCs w:val="28"/>
        </w:rPr>
        <w:t>第九章  公开招标失败的后续处理</w:t>
      </w:r>
    </w:p>
    <w:p>
      <w:pPr>
        <w:spacing w:after="60" w:line="360" w:lineRule="auto"/>
        <w:rPr>
          <w:rFonts w:ascii="黑体" w:hAnsi="宋体" w:eastAsia="黑体"/>
          <w:sz w:val="24"/>
        </w:rPr>
      </w:pPr>
      <w:r>
        <w:rPr>
          <w:rFonts w:hint="eastAsia" w:ascii="黑体" w:hAnsi="宋体" w:eastAsia="黑体"/>
          <w:sz w:val="24"/>
        </w:rPr>
        <w:t>43．公开招标失败的处理</w:t>
      </w:r>
    </w:p>
    <w:p>
      <w:pPr>
        <w:spacing w:after="60" w:line="360" w:lineRule="auto"/>
        <w:ind w:firstLine="411" w:firstLineChars="196"/>
        <w:rPr>
          <w:rFonts w:ascii="宋体" w:hAnsi="宋体"/>
        </w:rPr>
      </w:pPr>
      <w:r>
        <w:rPr>
          <w:rFonts w:hint="eastAsia" w:ascii="宋体" w:hAnsi="宋体"/>
          <w:szCs w:val="21"/>
        </w:rPr>
        <w:t>43.1本项目公开招标过程中若由于投标截止后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采购实施机构</w:t>
      </w:r>
      <w:r>
        <w:rPr>
          <w:rFonts w:hint="eastAsia" w:ascii="宋体" w:hAnsi="宋体"/>
        </w:rPr>
        <w:t>重新组织采购。</w:t>
      </w:r>
    </w:p>
    <w:p>
      <w:pPr>
        <w:spacing w:after="60" w:line="360" w:lineRule="auto"/>
        <w:ind w:firstLine="411" w:firstLineChars="196"/>
        <w:rPr>
          <w:rFonts w:ascii="宋体" w:hAnsi="宋体"/>
          <w:szCs w:val="21"/>
        </w:rPr>
      </w:pPr>
      <w:r>
        <w:rPr>
          <w:rFonts w:hint="eastAsia" w:ascii="宋体" w:hAnsi="宋体"/>
          <w:szCs w:val="21"/>
        </w:rPr>
        <w:t>43.2对公开招标失败的项目，评审委员会在出具该项目招标失败结论的同时，提出重新采购组织形式的建议，以及进一步完善招标文件的资格、技术、商务要求的修改建议。</w:t>
      </w:r>
    </w:p>
    <w:p>
      <w:pPr>
        <w:spacing w:after="60" w:line="360" w:lineRule="auto"/>
        <w:ind w:firstLine="411" w:firstLineChars="196"/>
        <w:rPr>
          <w:rFonts w:ascii="宋体" w:hAnsi="宋体"/>
          <w:szCs w:val="21"/>
        </w:rPr>
      </w:pPr>
      <w:r>
        <w:rPr>
          <w:rFonts w:hint="eastAsia" w:ascii="宋体" w:hAnsi="宋体"/>
          <w:szCs w:val="21"/>
        </w:rPr>
        <w:t>43.3重新组织采购有以下两种组织形式：</w:t>
      </w:r>
    </w:p>
    <w:p>
      <w:pPr>
        <w:spacing w:after="60" w:line="360" w:lineRule="auto"/>
        <w:ind w:firstLine="411" w:firstLineChars="196"/>
        <w:rPr>
          <w:rFonts w:ascii="宋体" w:hAnsi="宋体"/>
        </w:rPr>
      </w:pPr>
      <w:r>
        <w:rPr>
          <w:rFonts w:hint="eastAsia" w:ascii="宋体" w:hAnsi="宋体"/>
        </w:rPr>
        <w:t>（1）由</w:t>
      </w:r>
      <w:r>
        <w:rPr>
          <w:rFonts w:hint="eastAsia" w:ascii="宋体" w:hAnsi="宋体" w:cs="宋体"/>
        </w:rPr>
        <w:t>采购实施机构</w:t>
      </w:r>
      <w:r>
        <w:rPr>
          <w:rFonts w:hint="eastAsia" w:ascii="宋体" w:hAnsi="宋体"/>
        </w:rPr>
        <w:t>重新组织公开招标；</w:t>
      </w:r>
    </w:p>
    <w:p>
      <w:pPr>
        <w:spacing w:after="60" w:line="360" w:lineRule="auto"/>
        <w:ind w:firstLine="411" w:firstLineChars="196"/>
        <w:rPr>
          <w:rFonts w:ascii="宋体" w:hAnsi="宋体"/>
        </w:rPr>
      </w:pPr>
      <w:r>
        <w:rPr>
          <w:rFonts w:hint="eastAsia" w:ascii="宋体" w:hAnsi="宋体"/>
        </w:rPr>
        <w:t>（2）根据实际情况需要向政府采购监督管理部门提出非公开招标方式申请，经政府采购监督管理部门批准，公开招标失败采购项目可转为竞争性谈判或单一来源谈判方式采购。</w:t>
      </w:r>
    </w:p>
    <w:p>
      <w:pPr>
        <w:spacing w:after="60" w:line="360" w:lineRule="auto"/>
        <w:ind w:firstLine="411" w:firstLineChars="196"/>
        <w:rPr>
          <w:rFonts w:ascii="宋体" w:hAnsi="宋体"/>
        </w:rPr>
      </w:pPr>
      <w:r>
        <w:rPr>
          <w:rFonts w:hint="eastAsia" w:ascii="宋体" w:hAnsi="宋体"/>
        </w:rPr>
        <w:t>43.4公开招标失败的采购项目重新组织公开招标，由</w:t>
      </w:r>
      <w:r>
        <w:rPr>
          <w:rFonts w:hint="eastAsia" w:ascii="宋体" w:hAnsi="宋体" w:cs="宋体"/>
        </w:rPr>
        <w:t>采购实施机构</w:t>
      </w:r>
      <w:r>
        <w:rPr>
          <w:rFonts w:hint="eastAsia" w:ascii="宋体" w:hAnsi="宋体"/>
        </w:rPr>
        <w:t>重新按公开招标流程组织采购活动。</w:t>
      </w:r>
    </w:p>
    <w:p>
      <w:pPr>
        <w:spacing w:after="60" w:line="360" w:lineRule="auto"/>
        <w:rPr>
          <w:rFonts w:ascii="宋体" w:hAnsi="宋体"/>
        </w:rPr>
      </w:pPr>
      <w:r>
        <w:rPr>
          <w:rFonts w:hint="eastAsia" w:ascii="黑体" w:hAnsi="宋体" w:eastAsia="黑体"/>
          <w:sz w:val="24"/>
        </w:rPr>
        <w:t xml:space="preserve">    </w:t>
      </w:r>
      <w:r>
        <w:rPr>
          <w:rFonts w:hint="eastAsia" w:ascii="宋体" w:hAnsi="宋体"/>
        </w:rPr>
        <w:t>43.5公开招标失败的采购项目经政府采购监督管理部门批准转为竞争性谈判或单一来源谈判方式采购的，按规定要求组织政府采购工作。</w:t>
      </w:r>
    </w:p>
    <w:p>
      <w:pPr>
        <w:spacing w:after="60" w:line="360" w:lineRule="auto"/>
        <w:rPr>
          <w:rFonts w:ascii="黑体" w:hAnsi="宋体" w:eastAsia="黑体"/>
          <w:sz w:val="24"/>
        </w:rPr>
      </w:pPr>
    </w:p>
    <w:p>
      <w:pPr>
        <w:pStyle w:val="3"/>
        <w:tabs>
          <w:tab w:val="left" w:pos="720"/>
        </w:tabs>
        <w:adjustRightInd w:val="0"/>
        <w:spacing w:beforeLines="50" w:afterLines="50" w:line="360" w:lineRule="auto"/>
        <w:jc w:val="center"/>
        <w:textAlignment w:val="baseline"/>
        <w:rPr>
          <w:sz w:val="28"/>
          <w:szCs w:val="28"/>
        </w:rPr>
      </w:pPr>
      <w:r>
        <w:rPr>
          <w:rFonts w:hint="eastAsia"/>
        </w:rPr>
        <w:t>第十章  合同的授予与备案</w:t>
      </w:r>
    </w:p>
    <w:p>
      <w:pPr>
        <w:spacing w:after="60" w:line="360" w:lineRule="auto"/>
        <w:rPr>
          <w:rFonts w:ascii="黑体" w:hAnsi="宋体" w:eastAsia="黑体"/>
          <w:sz w:val="24"/>
        </w:rPr>
      </w:pPr>
      <w:bookmarkStart w:id="81" w:name="_Toc73521586"/>
      <w:bookmarkStart w:id="82" w:name="_Toc73518157"/>
      <w:bookmarkStart w:id="83" w:name="_Toc73517679"/>
      <w:bookmarkStart w:id="84" w:name="_Toc73521674"/>
      <w:bookmarkStart w:id="85" w:name="_Toc100052408"/>
      <w:r>
        <w:rPr>
          <w:rFonts w:hint="eastAsia" w:ascii="黑体" w:hAnsi="宋体" w:eastAsia="黑体"/>
          <w:sz w:val="24"/>
        </w:rPr>
        <w:t>44．合同授予标准</w:t>
      </w:r>
      <w:bookmarkEnd w:id="81"/>
      <w:bookmarkEnd w:id="82"/>
      <w:bookmarkEnd w:id="83"/>
      <w:bookmarkEnd w:id="84"/>
      <w:bookmarkEnd w:id="85"/>
    </w:p>
    <w:p>
      <w:pPr>
        <w:spacing w:after="60" w:line="360" w:lineRule="auto"/>
        <w:ind w:firstLine="411" w:firstLineChars="196"/>
        <w:rPr>
          <w:rFonts w:ascii="宋体" w:hAnsi="宋体"/>
          <w:szCs w:val="21"/>
        </w:rPr>
      </w:pPr>
      <w:r>
        <w:rPr>
          <w:rFonts w:hint="eastAsia" w:ascii="宋体" w:hAnsi="宋体"/>
          <w:szCs w:val="21"/>
        </w:rPr>
        <w:t>本项目的合同将授予按本招标文件规定评审确定的中标人。</w:t>
      </w:r>
    </w:p>
    <w:p>
      <w:pPr>
        <w:spacing w:after="60" w:line="360" w:lineRule="auto"/>
        <w:rPr>
          <w:rFonts w:ascii="黑体" w:hAnsi="宋体" w:eastAsia="黑体"/>
          <w:sz w:val="24"/>
        </w:rPr>
      </w:pPr>
      <w:bookmarkStart w:id="86" w:name="_Toc73521675"/>
      <w:bookmarkStart w:id="87" w:name="_Toc100052409"/>
      <w:bookmarkStart w:id="88" w:name="_Toc73517680"/>
      <w:bookmarkStart w:id="89" w:name="_Toc73521587"/>
      <w:bookmarkStart w:id="90" w:name="_Toc73518158"/>
      <w:r>
        <w:rPr>
          <w:rFonts w:hint="eastAsia" w:ascii="黑体" w:hAnsi="宋体" w:eastAsia="黑体"/>
          <w:sz w:val="24"/>
        </w:rPr>
        <w:t>45．</w:t>
      </w:r>
      <w:bookmarkEnd w:id="86"/>
      <w:bookmarkEnd w:id="87"/>
      <w:bookmarkEnd w:id="88"/>
      <w:bookmarkEnd w:id="89"/>
      <w:bookmarkEnd w:id="90"/>
      <w:r>
        <w:rPr>
          <w:rFonts w:hint="eastAsia" w:ascii="黑体" w:hAnsi="宋体" w:eastAsia="黑体"/>
          <w:sz w:val="24"/>
        </w:rPr>
        <w:t>接受和拒绝任何或所有投标的权力</w:t>
      </w:r>
    </w:p>
    <w:p>
      <w:pPr>
        <w:spacing w:after="60" w:line="360" w:lineRule="auto"/>
        <w:ind w:firstLine="411" w:firstLineChars="196"/>
        <w:rPr>
          <w:rFonts w:ascii="宋体" w:hAnsi="宋体"/>
          <w:szCs w:val="21"/>
        </w:rPr>
      </w:pPr>
      <w:r>
        <w:rPr>
          <w:rFonts w:hint="eastAsia" w:ascii="宋体" w:hAnsi="宋体" w:cs="宋体"/>
        </w:rPr>
        <w:t>采购实施机构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pPr>
        <w:spacing w:after="60" w:line="360" w:lineRule="auto"/>
        <w:rPr>
          <w:rFonts w:ascii="黑体" w:hAnsi="宋体" w:eastAsia="黑体"/>
          <w:sz w:val="24"/>
        </w:rPr>
      </w:pPr>
      <w:bookmarkStart w:id="91" w:name="_Toc73521677"/>
      <w:bookmarkStart w:id="92" w:name="_Toc73518160"/>
      <w:bookmarkStart w:id="93" w:name="_Toc100052410"/>
      <w:bookmarkStart w:id="94" w:name="_Toc73521589"/>
      <w:bookmarkStart w:id="95" w:name="_Toc73517682"/>
      <w:r>
        <w:rPr>
          <w:rFonts w:hint="eastAsia" w:ascii="黑体" w:hAnsi="宋体" w:eastAsia="黑体"/>
          <w:sz w:val="24"/>
        </w:rPr>
        <w:t>46．合同协议书的签订</w:t>
      </w:r>
      <w:bookmarkEnd w:id="91"/>
      <w:bookmarkEnd w:id="92"/>
      <w:bookmarkEnd w:id="93"/>
      <w:bookmarkEnd w:id="94"/>
      <w:bookmarkEnd w:id="95"/>
    </w:p>
    <w:p>
      <w:pPr>
        <w:spacing w:after="60" w:line="360" w:lineRule="auto"/>
        <w:ind w:firstLine="411" w:firstLineChars="196"/>
        <w:rPr>
          <w:rFonts w:ascii="宋体" w:hAnsi="宋体"/>
          <w:szCs w:val="21"/>
        </w:rPr>
      </w:pPr>
      <w:r>
        <w:rPr>
          <w:rFonts w:hint="eastAsia" w:ascii="宋体" w:hAnsi="宋体"/>
          <w:szCs w:val="21"/>
        </w:rPr>
        <w:t>46.1中标人将于中标通知书发出之日起十个工作日内，按照采购文件（招标文件和投标文件等）内容与采购人签订政府采购合同；合同的实质性内容应当符合招标文件的规定；</w:t>
      </w:r>
    </w:p>
    <w:p>
      <w:pPr>
        <w:spacing w:after="60" w:line="360" w:lineRule="auto"/>
        <w:ind w:firstLine="411" w:firstLineChars="196"/>
        <w:rPr>
          <w:rFonts w:ascii="宋体" w:hAnsi="宋体"/>
          <w:szCs w:val="21"/>
        </w:rPr>
      </w:pPr>
      <w:r>
        <w:rPr>
          <w:rFonts w:hint="eastAsia" w:ascii="宋体" w:hAnsi="宋体"/>
          <w:szCs w:val="21"/>
        </w:rPr>
        <w:t>46.2中标人如不按本通用条款第45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情节严重的，并由主管部门记入供应商诚信档案，予以通报</w:t>
      </w:r>
      <w:r>
        <w:rPr>
          <w:rFonts w:hint="eastAsia" w:ascii="宋体" w:hAnsi="宋体"/>
          <w:szCs w:val="21"/>
        </w:rPr>
        <w:t>；</w:t>
      </w:r>
    </w:p>
    <w:p>
      <w:pPr>
        <w:spacing w:after="60" w:line="360" w:lineRule="auto"/>
        <w:ind w:firstLine="411" w:firstLineChars="196"/>
        <w:rPr>
          <w:rFonts w:ascii="宋体" w:hAnsi="宋体"/>
          <w:szCs w:val="21"/>
        </w:rPr>
      </w:pPr>
      <w:r>
        <w:rPr>
          <w:rFonts w:hint="eastAsia" w:ascii="宋体" w:hAnsi="宋体"/>
          <w:szCs w:val="21"/>
        </w:rPr>
        <w:t>46.3中标人应当按照合同约定履行义务，完成中标项目，不得将中标项目转让（转包）给他人。</w:t>
      </w:r>
    </w:p>
    <w:p>
      <w:pPr>
        <w:spacing w:after="60" w:line="360" w:lineRule="auto"/>
        <w:rPr>
          <w:rFonts w:ascii="黑体" w:hAnsi="宋体" w:eastAsia="黑体"/>
          <w:sz w:val="24"/>
        </w:rPr>
      </w:pPr>
      <w:bookmarkStart w:id="96" w:name="_Toc73521590"/>
      <w:bookmarkStart w:id="97" w:name="_Toc73521678"/>
      <w:bookmarkStart w:id="98" w:name="_Toc100052411"/>
      <w:bookmarkStart w:id="99" w:name="_Toc73517683"/>
      <w:bookmarkStart w:id="100" w:name="_Toc73518161"/>
      <w:r>
        <w:rPr>
          <w:rFonts w:hint="eastAsia" w:ascii="黑体" w:hAnsi="宋体" w:eastAsia="黑体"/>
          <w:sz w:val="24"/>
        </w:rPr>
        <w:t>47．履约担保</w:t>
      </w:r>
      <w:bookmarkEnd w:id="96"/>
      <w:bookmarkEnd w:id="97"/>
      <w:bookmarkEnd w:id="98"/>
      <w:bookmarkEnd w:id="99"/>
      <w:bookmarkEnd w:id="100"/>
    </w:p>
    <w:p>
      <w:pPr>
        <w:spacing w:after="60" w:line="360" w:lineRule="auto"/>
        <w:ind w:firstLine="411" w:firstLineChars="196"/>
        <w:rPr>
          <w:rFonts w:ascii="宋体" w:hAnsi="宋体"/>
          <w:szCs w:val="21"/>
        </w:rPr>
      </w:pPr>
      <w:r>
        <w:rPr>
          <w:rFonts w:hint="eastAsia" w:ascii="宋体" w:hAnsi="宋体"/>
          <w:szCs w:val="21"/>
        </w:rPr>
        <w:t>47.1在签订项目合同的同时，中标人应按“对通用条款的补充内容”中规定的金额向采购人提交履约保证金（除现金方式外，允许供应商自主选择以支票、汇票、本票、保函等非现金方式缴纳或提交保证金）；</w:t>
      </w:r>
    </w:p>
    <w:p>
      <w:pPr>
        <w:spacing w:after="60" w:line="360" w:lineRule="auto"/>
        <w:ind w:firstLine="411" w:firstLineChars="196"/>
        <w:rPr>
          <w:rFonts w:ascii="宋体" w:hAnsi="宋体"/>
          <w:szCs w:val="21"/>
        </w:rPr>
      </w:pPr>
      <w:r>
        <w:rPr>
          <w:rFonts w:hint="eastAsia" w:ascii="宋体" w:hAnsi="宋体"/>
          <w:szCs w:val="21"/>
        </w:rPr>
        <w:t>47.2如果中标人不能按“对通用条款的补充内容”中规定的金额向采购人提交履约保证金，采购人将有充分的理由通过政府采购监督管理部门废除中标，给采购人造成的损失应当予以赔偿；</w:t>
      </w:r>
    </w:p>
    <w:p>
      <w:pPr>
        <w:spacing w:after="60" w:line="360" w:lineRule="auto"/>
        <w:ind w:firstLine="411" w:firstLineChars="196"/>
        <w:rPr>
          <w:rFonts w:ascii="宋体" w:hAnsi="宋体"/>
          <w:szCs w:val="21"/>
        </w:rPr>
      </w:pPr>
      <w:r>
        <w:rPr>
          <w:rFonts w:hint="eastAsia" w:ascii="宋体" w:hAnsi="宋体"/>
          <w:szCs w:val="21"/>
        </w:rPr>
        <w:t>47</w:t>
      </w:r>
      <w:r>
        <w:rPr>
          <w:rFonts w:ascii="宋体" w:hAnsi="宋体"/>
          <w:szCs w:val="21"/>
        </w:rPr>
        <w:t>.</w:t>
      </w:r>
      <w:r>
        <w:rPr>
          <w:rFonts w:hint="eastAsia" w:ascii="宋体" w:hAnsi="宋体"/>
          <w:szCs w:val="21"/>
        </w:rPr>
        <w:t>3项目服务期满之后,经验收合格后，采购人在七日内办理解除履约担保手续。</w:t>
      </w:r>
    </w:p>
    <w:p>
      <w:pPr>
        <w:spacing w:after="60" w:line="360" w:lineRule="auto"/>
        <w:rPr>
          <w:rFonts w:ascii="黑体" w:hAnsi="宋体" w:eastAsia="黑体"/>
          <w:sz w:val="24"/>
        </w:rPr>
      </w:pPr>
      <w:r>
        <w:rPr>
          <w:rFonts w:hint="eastAsia" w:ascii="黑体" w:hAnsi="宋体" w:eastAsia="黑体"/>
          <w:sz w:val="24"/>
        </w:rPr>
        <w:t>48. 合同的备案</w:t>
      </w:r>
    </w:p>
    <w:p>
      <w:pPr>
        <w:spacing w:after="60" w:line="360" w:lineRule="auto"/>
        <w:ind w:firstLine="411" w:firstLineChars="196"/>
        <w:rPr>
          <w:rFonts w:ascii="宋体" w:hAnsi="宋体"/>
          <w:szCs w:val="21"/>
        </w:rPr>
      </w:pPr>
      <w:r>
        <w:rPr>
          <w:rFonts w:hint="eastAsia" w:ascii="宋体" w:hAnsi="宋体"/>
          <w:szCs w:val="21"/>
        </w:rPr>
        <w:t>采购人与中标人应于合同签订之日起十日内，由采购人或委托中标人将采购合同副本抄送政府集中采购机构备案。</w:t>
      </w:r>
    </w:p>
    <w:p>
      <w:pPr>
        <w:spacing w:after="60" w:line="360" w:lineRule="auto"/>
        <w:rPr>
          <w:rFonts w:ascii="黑体" w:hAnsi="宋体" w:eastAsia="黑体"/>
          <w:sz w:val="24"/>
        </w:rPr>
      </w:pPr>
      <w:r>
        <w:rPr>
          <w:rFonts w:hint="eastAsia" w:ascii="黑体" w:hAnsi="宋体" w:eastAsia="黑体"/>
          <w:sz w:val="24"/>
        </w:rPr>
        <w:t>49. 合同的变更</w:t>
      </w:r>
    </w:p>
    <w:p>
      <w:pPr>
        <w:spacing w:after="60" w:line="360" w:lineRule="auto"/>
        <w:ind w:firstLine="411" w:firstLineChars="196"/>
        <w:rPr>
          <w:rFonts w:ascii="宋体" w:hAnsi="宋体"/>
          <w:szCs w:val="21"/>
        </w:rPr>
      </w:pPr>
      <w:r>
        <w:rPr>
          <w:rFonts w:hint="eastAsia" w:ascii="宋体" w:hAnsi="宋体"/>
          <w:szCs w:val="21"/>
        </w:rPr>
        <w:t>合同变更事宜按《深圳市财政局 深圳公共资源交易中心关于进一步加强市本级政府采购合同备案管理工作的通知》（深财购〔2019〕43号）相关规定执行。</w:t>
      </w:r>
    </w:p>
    <w:p>
      <w:pPr>
        <w:spacing w:after="60" w:line="360" w:lineRule="auto"/>
        <w:rPr>
          <w:rFonts w:ascii="黑体" w:hAnsi="宋体" w:eastAsia="黑体"/>
          <w:sz w:val="24"/>
        </w:rPr>
      </w:pPr>
      <w:r>
        <w:rPr>
          <w:rFonts w:hint="eastAsia" w:ascii="黑体" w:hAnsi="宋体" w:eastAsia="黑体"/>
          <w:sz w:val="24"/>
        </w:rPr>
        <w:t>50. 履约抽检及情况的反馈</w:t>
      </w:r>
    </w:p>
    <w:p>
      <w:pPr>
        <w:widowControl/>
        <w:spacing w:after="60" w:line="360" w:lineRule="auto"/>
        <w:ind w:right="176" w:firstLine="420"/>
        <w:jc w:val="left"/>
        <w:rPr>
          <w:rFonts w:ascii="宋体" w:hAnsi="宋体"/>
        </w:rPr>
      </w:pPr>
      <w:r>
        <w:rPr>
          <w:rFonts w:hint="eastAsia" w:ascii="宋体" w:hAnsi="宋体"/>
        </w:rPr>
        <w:t>50.1供应商必须诚信履约，采购人必须对采购项目实施组织履约验收。必要时，深圳公共资源交易中心将对采购项目进行履约抽检评价。如未按合同履约，将按《深圳经济特区政府采购条例》第五十七条有关规定、《深圳市政府采购供应商诚信管理暂行办法》及其操作细则进行处理。</w:t>
      </w:r>
    </w:p>
    <w:p>
      <w:pPr>
        <w:widowControl/>
        <w:spacing w:after="60" w:line="360" w:lineRule="auto"/>
        <w:ind w:right="176" w:firstLine="420"/>
        <w:jc w:val="left"/>
        <w:rPr>
          <w:rFonts w:ascii="宋体" w:hAnsi="宋体"/>
        </w:rPr>
      </w:pPr>
      <w:r>
        <w:rPr>
          <w:rFonts w:hint="eastAsia" w:ascii="宋体" w:hAnsi="宋体"/>
        </w:rPr>
        <w:t>50.2</w:t>
      </w:r>
      <w:r>
        <w:rPr>
          <w:rFonts w:ascii="宋体" w:hAnsi="宋体"/>
        </w:rPr>
        <w:t>采购人和供应商应当在采购合同履行完毕三十日之内将政府采购合同履行情况和相关政府采购建议等反馈至政府集中采购机构。</w:t>
      </w:r>
    </w:p>
    <w:p>
      <w:pPr>
        <w:spacing w:after="60" w:line="360" w:lineRule="auto"/>
        <w:rPr>
          <w:rFonts w:ascii="黑体" w:hAnsi="宋体" w:eastAsia="黑体"/>
          <w:sz w:val="24"/>
        </w:rPr>
      </w:pPr>
      <w:r>
        <w:rPr>
          <w:rFonts w:hint="eastAsia" w:ascii="黑体" w:hAnsi="宋体" w:eastAsia="黑体"/>
          <w:sz w:val="24"/>
        </w:rPr>
        <w:t>51. 宣传</w:t>
      </w:r>
    </w:p>
    <w:p>
      <w:pPr>
        <w:spacing w:after="60" w:line="360" w:lineRule="auto"/>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必须事先将具体对外宣传方案报市财政委和政府集中采购机构，并征得其同意。对外市场宣传包括但不限于以下形式：</w:t>
      </w:r>
    </w:p>
    <w:p>
      <w:pPr>
        <w:spacing w:after="60" w:line="360" w:lineRule="auto"/>
        <w:ind w:left="210" w:leftChars="100" w:firstLine="411" w:firstLineChars="196"/>
        <w:rPr>
          <w:rFonts w:ascii="宋体" w:hAnsi="宋体"/>
        </w:rPr>
      </w:pPr>
      <w:r>
        <w:rPr>
          <w:rFonts w:ascii="宋体" w:hAnsi="宋体"/>
        </w:rPr>
        <w:t>a.名片、宣传册、广告标语等；</w:t>
      </w:r>
    </w:p>
    <w:p>
      <w:pPr>
        <w:spacing w:after="60" w:line="360" w:lineRule="auto"/>
        <w:ind w:left="210" w:leftChars="100" w:firstLine="411" w:firstLineChars="196"/>
        <w:rPr>
          <w:rFonts w:ascii="宋体" w:hAnsi="宋体"/>
        </w:rPr>
      </w:pPr>
      <w:r>
        <w:rPr>
          <w:rFonts w:ascii="宋体" w:hAnsi="宋体"/>
        </w:rPr>
        <w:t>b.案例介绍、推广等；</w:t>
      </w:r>
    </w:p>
    <w:p>
      <w:pPr>
        <w:spacing w:after="60" w:line="360" w:lineRule="auto"/>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spacing w:after="60" w:line="360" w:lineRule="auto"/>
        <w:rPr>
          <w:rFonts w:ascii="黑体" w:hAnsi="宋体" w:eastAsia="黑体"/>
          <w:sz w:val="24"/>
        </w:rPr>
      </w:pPr>
      <w:r>
        <w:rPr>
          <w:rFonts w:hint="eastAsia" w:ascii="黑体" w:hAnsi="宋体" w:eastAsia="黑体"/>
          <w:sz w:val="24"/>
        </w:rPr>
        <w:t>52. 供应商违法责任</w:t>
      </w:r>
    </w:p>
    <w:p>
      <w:pPr>
        <w:spacing w:after="60"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after="60"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（1）在采购活动中应当回避而未回避的；</w:t>
      </w:r>
    </w:p>
    <w:p>
      <w:pPr>
        <w:spacing w:after="60"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（2）未按本条例规定签订、履行采购合同，造成严重后果的；</w:t>
      </w:r>
    </w:p>
    <w:p>
      <w:pPr>
        <w:spacing w:after="60" w:line="360" w:lineRule="auto"/>
        <w:ind w:firstLine="411" w:firstLineChars="196"/>
        <w:rPr>
          <w:rFonts w:asciiTheme="minorEastAsia" w:hAnsiTheme="minorEastAsia" w:eastAsiaTheme="minorEastAsia"/>
          <w:szCs w:val="21"/>
        </w:rPr>
      </w:pPr>
      <w:r>
        <w:rPr>
          <w:rFonts w:hint="eastAsia" w:asciiTheme="minorEastAsia" w:hAnsiTheme="minorEastAsia" w:eastAsiaTheme="minorEastAsia"/>
          <w:szCs w:val="21"/>
        </w:rPr>
        <w:t>（3）隐瞒真实情况，提供虚假资料的；</w:t>
      </w:r>
    </w:p>
    <w:p>
      <w:pPr>
        <w:spacing w:after="60" w:line="360" w:lineRule="auto"/>
        <w:ind w:firstLine="411" w:firstLineChars="196"/>
        <w:rPr>
          <w:rFonts w:ascii="宋体" w:hAnsi="宋体"/>
          <w:szCs w:val="21"/>
        </w:rPr>
      </w:pPr>
      <w:r>
        <w:rPr>
          <w:rFonts w:hint="eastAsia" w:ascii="宋体" w:hAnsi="宋体"/>
          <w:szCs w:val="21"/>
        </w:rPr>
        <w:t>（4）以非法手段排斥其他供应商参与竞争的；</w:t>
      </w:r>
    </w:p>
    <w:p>
      <w:pPr>
        <w:spacing w:after="60" w:line="360" w:lineRule="auto"/>
        <w:ind w:firstLine="411" w:firstLineChars="196"/>
        <w:rPr>
          <w:rFonts w:ascii="宋体" w:hAnsi="宋体"/>
          <w:szCs w:val="21"/>
        </w:rPr>
      </w:pPr>
      <w:r>
        <w:rPr>
          <w:rFonts w:hint="eastAsia" w:ascii="宋体" w:hAnsi="宋体"/>
          <w:szCs w:val="21"/>
        </w:rPr>
        <w:t>（5）与其他采购参加人串通投标的；</w:t>
      </w:r>
    </w:p>
    <w:p>
      <w:pPr>
        <w:spacing w:after="60" w:line="360" w:lineRule="auto"/>
        <w:ind w:firstLine="411" w:firstLineChars="196"/>
        <w:rPr>
          <w:rFonts w:ascii="宋体" w:hAnsi="宋体"/>
          <w:szCs w:val="21"/>
        </w:rPr>
      </w:pPr>
      <w:r>
        <w:rPr>
          <w:rFonts w:hint="eastAsia" w:ascii="宋体" w:hAnsi="宋体"/>
          <w:szCs w:val="21"/>
        </w:rPr>
        <w:t>（6）恶意投诉的；</w:t>
      </w:r>
    </w:p>
    <w:p>
      <w:pPr>
        <w:spacing w:after="60" w:line="360" w:lineRule="auto"/>
        <w:ind w:firstLine="411" w:firstLineChars="196"/>
        <w:rPr>
          <w:rFonts w:ascii="宋体" w:hAnsi="宋体"/>
          <w:szCs w:val="21"/>
        </w:rPr>
      </w:pPr>
      <w:r>
        <w:rPr>
          <w:rFonts w:hint="eastAsia" w:ascii="宋体" w:hAnsi="宋体"/>
          <w:szCs w:val="21"/>
        </w:rPr>
        <w:t>（7）向采购项目相关人行贿或者提供其他不当利益的；</w:t>
      </w:r>
    </w:p>
    <w:p>
      <w:pPr>
        <w:spacing w:after="60" w:line="360" w:lineRule="auto"/>
        <w:ind w:firstLine="411" w:firstLineChars="196"/>
        <w:rPr>
          <w:rFonts w:ascii="宋体" w:hAnsi="宋体"/>
          <w:szCs w:val="21"/>
        </w:rPr>
      </w:pPr>
      <w:r>
        <w:rPr>
          <w:rFonts w:hint="eastAsia" w:ascii="宋体" w:hAnsi="宋体"/>
          <w:szCs w:val="21"/>
        </w:rPr>
        <w:t>（8）阻碍、抗拒主管部门监督检查的；</w:t>
      </w:r>
    </w:p>
    <w:p>
      <w:pPr>
        <w:spacing w:after="60" w:line="360" w:lineRule="auto"/>
        <w:ind w:firstLine="411" w:firstLineChars="196"/>
        <w:rPr>
          <w:rFonts w:ascii="宋体" w:hAnsi="宋体"/>
          <w:szCs w:val="21"/>
        </w:rPr>
      </w:pPr>
      <w:r>
        <w:rPr>
          <w:rFonts w:hint="eastAsia" w:ascii="宋体" w:hAnsi="宋体"/>
          <w:szCs w:val="21"/>
        </w:rPr>
        <w:t>（9）其他违反本条例规定的行为。</w:t>
      </w:r>
    </w:p>
    <w:p>
      <w:pPr>
        <w:spacing w:after="60" w:line="360" w:lineRule="auto"/>
        <w:ind w:firstLine="411" w:firstLineChars="196"/>
        <w:rPr>
          <w:rFonts w:ascii="宋体" w:hAnsi="宋体"/>
          <w:szCs w:val="21"/>
        </w:rPr>
      </w:pPr>
    </w:p>
    <w:p>
      <w:pPr>
        <w:pStyle w:val="3"/>
        <w:tabs>
          <w:tab w:val="left" w:pos="720"/>
        </w:tabs>
        <w:adjustRightInd w:val="0"/>
        <w:spacing w:beforeLines="50" w:afterLines="50" w:line="360" w:lineRule="auto"/>
        <w:jc w:val="center"/>
        <w:textAlignment w:val="baseline"/>
      </w:pPr>
      <w:r>
        <w:rPr>
          <w:rFonts w:hint="eastAsia"/>
        </w:rPr>
        <w:t>第十一章  质疑处理</w:t>
      </w:r>
    </w:p>
    <w:p>
      <w:pPr>
        <w:spacing w:after="60" w:line="360" w:lineRule="auto"/>
        <w:rPr>
          <w:rFonts w:ascii="黑体" w:hAnsi="宋体" w:eastAsia="黑体"/>
          <w:sz w:val="24"/>
        </w:rPr>
      </w:pPr>
      <w:r>
        <w:rPr>
          <w:rFonts w:hint="eastAsia" w:ascii="黑体" w:hAnsi="宋体" w:eastAsia="黑体"/>
          <w:sz w:val="24"/>
        </w:rPr>
        <w:t>53.质疑提出与答复</w:t>
      </w:r>
    </w:p>
    <w:p>
      <w:pPr>
        <w:spacing w:after="60" w:line="360" w:lineRule="auto"/>
        <w:rPr>
          <w:rFonts w:ascii="宋体" w:hAnsi="宋体"/>
          <w:szCs w:val="21"/>
        </w:rPr>
      </w:pPr>
      <w:r>
        <w:rPr>
          <w:rFonts w:hint="eastAsia" w:ascii="宋体" w:hAnsi="宋体"/>
          <w:szCs w:val="21"/>
        </w:rPr>
        <w:t xml:space="preserve">    53.1提出质疑</w:t>
      </w:r>
    </w:p>
    <w:p>
      <w:pPr>
        <w:spacing w:after="60" w:line="360" w:lineRule="auto"/>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参与政府采购活动的供应商认为自己的权益在采购活动中受到损害的，应当自知道或者应当知道其权益受到损害之日起七个工作日内向采购人、采购实施机构以书面形式提出质疑。</w:t>
      </w:r>
    </w:p>
    <w:p>
      <w:pPr>
        <w:spacing w:after="60" w:line="360" w:lineRule="auto"/>
        <w:rPr>
          <w:rFonts w:ascii="宋体" w:hAnsi="宋体"/>
          <w:szCs w:val="21"/>
        </w:rPr>
      </w:pPr>
      <w:r>
        <w:rPr>
          <w:rFonts w:hint="eastAsia" w:ascii="宋体" w:hAnsi="宋体"/>
          <w:szCs w:val="21"/>
        </w:rPr>
        <w:t xml:space="preserve">    53.2</w:t>
      </w:r>
      <w:r>
        <w:rPr>
          <w:rFonts w:ascii="宋体" w:hAnsi="宋体"/>
          <w:szCs w:val="21"/>
        </w:rPr>
        <w:t>法律依据</w:t>
      </w:r>
    </w:p>
    <w:p>
      <w:pPr>
        <w:spacing w:after="60" w:line="360" w:lineRule="auto"/>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spacing w:after="60" w:line="360" w:lineRule="auto"/>
        <w:rPr>
          <w:rFonts w:ascii="宋体" w:hAnsi="宋体"/>
          <w:szCs w:val="21"/>
        </w:rPr>
      </w:pPr>
      <w:r>
        <w:rPr>
          <w:rFonts w:hint="eastAsia" w:ascii="宋体" w:hAnsi="宋体"/>
          <w:szCs w:val="21"/>
        </w:rPr>
        <w:t xml:space="preserve">    53.3质疑条件</w:t>
      </w:r>
    </w:p>
    <w:p>
      <w:pPr>
        <w:spacing w:after="60" w:line="360" w:lineRule="auto"/>
        <w:rPr>
          <w:rFonts w:ascii="宋体" w:hAnsi="宋体"/>
          <w:szCs w:val="21"/>
        </w:rPr>
      </w:pPr>
      <w:r>
        <w:rPr>
          <w:rFonts w:hint="eastAsia" w:ascii="宋体" w:hAnsi="宋体"/>
          <w:szCs w:val="21"/>
        </w:rPr>
        <w:t xml:space="preserve">    53.3.1提出质疑的供应商应当是参与所质疑项目采购活动的供应商；</w:t>
      </w:r>
    </w:p>
    <w:p>
      <w:pPr>
        <w:spacing w:after="60" w:line="360" w:lineRule="auto"/>
        <w:textAlignment w:val="center"/>
        <w:rPr>
          <w:rFonts w:ascii="宋体" w:hAnsi="宋体"/>
          <w:szCs w:val="21"/>
        </w:rPr>
      </w:pPr>
      <w:r>
        <w:rPr>
          <w:rFonts w:hint="eastAsia" w:ascii="宋体" w:hAnsi="宋体"/>
          <w:szCs w:val="21"/>
        </w:rPr>
        <w:t xml:space="preserve">    53.3.2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pPr>
        <w:spacing w:after="60" w:line="360" w:lineRule="auto"/>
        <w:rPr>
          <w:rFonts w:ascii="宋体" w:hAnsi="宋体"/>
          <w:szCs w:val="21"/>
        </w:rPr>
      </w:pPr>
      <w:r>
        <w:rPr>
          <w:rFonts w:hint="eastAsia" w:ascii="宋体" w:hAnsi="宋体"/>
          <w:szCs w:val="21"/>
        </w:rPr>
        <w:t xml:space="preserve">    53.3.3应提交书面质疑函，质疑函应当包括以下内容：（1）具体、明确的质疑事项和与质疑事项相关的请求；（2）合理的事实和依据；（3）必要的证明材料和法律依据。注：质疑函范本可在深圳公共资源交易中心网站下载。</w:t>
      </w:r>
    </w:p>
    <w:p>
      <w:pPr>
        <w:spacing w:after="60" w:line="360" w:lineRule="auto"/>
        <w:rPr>
          <w:rFonts w:ascii="宋体" w:hAnsi="宋体"/>
          <w:szCs w:val="21"/>
        </w:rPr>
      </w:pPr>
      <w:r>
        <w:rPr>
          <w:rFonts w:hint="eastAsia" w:ascii="宋体" w:hAnsi="宋体"/>
          <w:szCs w:val="21"/>
        </w:rPr>
        <w:t xml:space="preserve">    53.4提交</w:t>
      </w:r>
      <w:r>
        <w:rPr>
          <w:rFonts w:ascii="宋体" w:hAnsi="宋体"/>
          <w:szCs w:val="21"/>
        </w:rPr>
        <w:t>材料</w:t>
      </w:r>
    </w:p>
    <w:p>
      <w:pPr>
        <w:spacing w:after="60" w:line="360" w:lineRule="auto"/>
        <w:rPr>
          <w:rFonts w:ascii="宋体" w:hAnsi="宋体"/>
          <w:szCs w:val="21"/>
        </w:rPr>
      </w:pPr>
      <w:r>
        <w:rPr>
          <w:rFonts w:hint="eastAsia" w:ascii="宋体" w:hAnsi="宋体"/>
          <w:szCs w:val="21"/>
        </w:rPr>
        <w:t xml:space="preserve">    质疑函、营业执照复印件、法定代表人证明。如委托代理人提交的，还需提交授权委托书及代理人身份证明。</w:t>
      </w:r>
    </w:p>
    <w:p>
      <w:pPr>
        <w:spacing w:after="60" w:line="360" w:lineRule="auto"/>
        <w:rPr>
          <w:rFonts w:ascii="宋体" w:hAnsi="宋体"/>
          <w:szCs w:val="21"/>
        </w:rPr>
      </w:pPr>
      <w:r>
        <w:rPr>
          <w:rFonts w:hint="eastAsia" w:ascii="宋体" w:hAnsi="宋体"/>
          <w:szCs w:val="21"/>
        </w:rPr>
        <w:t xml:space="preserve">    53.5收文部门</w:t>
      </w:r>
    </w:p>
    <w:p>
      <w:pPr>
        <w:spacing w:after="60" w:line="360" w:lineRule="auto"/>
        <w:rPr>
          <w:rFonts w:ascii="宋体" w:hAnsi="宋体"/>
          <w:szCs w:val="21"/>
        </w:rPr>
      </w:pPr>
      <w:r>
        <w:rPr>
          <w:rFonts w:hint="eastAsia" w:ascii="宋体" w:hAnsi="宋体"/>
          <w:szCs w:val="21"/>
        </w:rPr>
        <w:t xml:space="preserve">    由采购实施机构集中受理。采购实施机构联系电话：0755-88918228，地址：深圳市福田区泰然九路1号天地源盛唐大厦东座1403。</w:t>
      </w:r>
    </w:p>
    <w:p>
      <w:pPr>
        <w:spacing w:after="60" w:line="360" w:lineRule="auto"/>
        <w:rPr>
          <w:rFonts w:ascii="宋体" w:hAnsi="宋体"/>
          <w:szCs w:val="21"/>
        </w:rPr>
      </w:pPr>
      <w:r>
        <w:rPr>
          <w:rFonts w:hint="eastAsia" w:ascii="宋体" w:hAnsi="宋体"/>
          <w:szCs w:val="21"/>
        </w:rPr>
        <w:t xml:space="preserve">    53.6收文办理</w:t>
      </w:r>
      <w:r>
        <w:rPr>
          <w:rFonts w:ascii="宋体" w:hAnsi="宋体"/>
          <w:szCs w:val="21"/>
        </w:rPr>
        <w:t>程序</w:t>
      </w:r>
    </w:p>
    <w:p>
      <w:pPr>
        <w:spacing w:after="60" w:line="360" w:lineRule="auto"/>
        <w:rPr>
          <w:rFonts w:ascii="宋体" w:hAnsi="宋体"/>
          <w:szCs w:val="21"/>
        </w:rPr>
      </w:pPr>
      <w:r>
        <w:rPr>
          <w:rFonts w:hint="eastAsia" w:ascii="宋体" w:hAnsi="宋体"/>
          <w:szCs w:val="21"/>
        </w:rPr>
        <w:t xml:space="preserve">    53.6.1供应商提交的质疑材料符合质疑条件的办理收文；</w:t>
      </w:r>
    </w:p>
    <w:p>
      <w:pPr>
        <w:spacing w:after="60" w:line="360" w:lineRule="auto"/>
        <w:rPr>
          <w:rFonts w:ascii="宋体" w:hAnsi="宋体"/>
          <w:szCs w:val="21"/>
        </w:rPr>
      </w:pPr>
      <w:r>
        <w:rPr>
          <w:rFonts w:hint="eastAsia" w:ascii="宋体" w:hAnsi="宋体"/>
          <w:szCs w:val="21"/>
        </w:rPr>
        <w:t xml:space="preserve">    53.6.2供应商提交的质疑材料不符合质疑条件的，视情况处理：（1）质疑主体、时限不符合的，不予收文；（2）质疑函内容、提交人身份证明不符合的，开具补正告知书，供应商可在质疑期内补正后重新提交。</w:t>
      </w:r>
    </w:p>
    <w:p>
      <w:pPr>
        <w:spacing w:after="60" w:line="360" w:lineRule="auto"/>
        <w:rPr>
          <w:rFonts w:ascii="宋体" w:hAnsi="宋体"/>
          <w:szCs w:val="21"/>
        </w:rPr>
      </w:pPr>
      <w:r>
        <w:rPr>
          <w:rFonts w:hint="eastAsia" w:ascii="宋体" w:hAnsi="宋体"/>
          <w:szCs w:val="21"/>
        </w:rPr>
        <w:t xml:space="preserve">    53.7质疑答复时限</w:t>
      </w:r>
    </w:p>
    <w:p>
      <w:pPr>
        <w:spacing w:after="60" w:line="360" w:lineRule="auto"/>
        <w:rPr>
          <w:rFonts w:ascii="宋体" w:hAnsi="宋体"/>
          <w:szCs w:val="21"/>
        </w:rPr>
      </w:pPr>
      <w:r>
        <w:rPr>
          <w:rFonts w:hint="eastAsia" w:ascii="宋体" w:hAnsi="宋体"/>
          <w:szCs w:val="21"/>
        </w:rPr>
        <w:t xml:space="preserve">    自收文之日起七个工作日内。</w:t>
      </w:r>
    </w:p>
    <w:p>
      <w:pPr>
        <w:spacing w:after="60" w:line="360" w:lineRule="auto"/>
        <w:rPr>
          <w:rFonts w:ascii="宋体" w:hAnsi="宋体"/>
          <w:szCs w:val="21"/>
        </w:rPr>
      </w:pPr>
      <w:r>
        <w:rPr>
          <w:rFonts w:hint="eastAsia" w:ascii="宋体" w:hAnsi="宋体"/>
          <w:szCs w:val="21"/>
        </w:rPr>
        <w:t xml:space="preserve">    53.8投诉</w:t>
      </w:r>
    </w:p>
    <w:p>
      <w:pPr>
        <w:spacing w:after="60" w:line="360" w:lineRule="auto"/>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对质疑答复不满意或者未在规定时间内答复的，提出质疑的供应商可以在答复期满后15个工作日内向深圳市财政局投诉。</w:t>
      </w:r>
    </w:p>
    <w:p>
      <w:pPr>
        <w:spacing w:after="60" w:line="360" w:lineRule="auto"/>
        <w:rPr>
          <w:rFonts w:ascii="黑体" w:hAnsi="宋体" w:eastAsia="黑体"/>
          <w:sz w:val="24"/>
        </w:rPr>
      </w:pPr>
      <w:r>
        <w:rPr>
          <w:rFonts w:hint="eastAsia" w:ascii="黑体" w:hAnsi="宋体" w:eastAsia="黑体"/>
          <w:sz w:val="24"/>
        </w:rPr>
        <w:t>54. 质疑后续处理</w:t>
      </w:r>
    </w:p>
    <w:p>
      <w:pPr>
        <w:spacing w:after="60" w:line="360" w:lineRule="auto"/>
        <w:rPr>
          <w:rFonts w:ascii="宋体" w:hAnsi="宋体"/>
          <w:szCs w:val="21"/>
        </w:rPr>
      </w:pPr>
      <w:r>
        <w:rPr>
          <w:rFonts w:hint="eastAsia" w:ascii="宋体" w:hAnsi="宋体"/>
          <w:szCs w:val="21"/>
        </w:rPr>
        <w:t xml:space="preserve">    54.1供应商质疑不成立，或者成立但未对中标、成交结果构成影响的，继续开展采购活动。</w:t>
      </w:r>
    </w:p>
    <w:p>
      <w:pPr>
        <w:spacing w:after="60" w:line="360" w:lineRule="auto"/>
        <w:ind w:firstLine="420"/>
        <w:rPr>
          <w:rFonts w:ascii="宋体" w:hAnsi="宋体"/>
          <w:szCs w:val="21"/>
        </w:rPr>
      </w:pPr>
      <w:r>
        <w:rPr>
          <w:rFonts w:hint="eastAsia" w:ascii="宋体" w:hAnsi="宋体"/>
          <w:szCs w:val="21"/>
        </w:rPr>
        <w:t>54.2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pStyle w:val="3"/>
        <w:tabs>
          <w:tab w:val="left" w:pos="720"/>
        </w:tabs>
        <w:adjustRightInd w:val="0"/>
        <w:spacing w:beforeLines="50" w:afterLines="50" w:line="360" w:lineRule="auto"/>
        <w:jc w:val="center"/>
        <w:textAlignment w:val="baseline"/>
      </w:pPr>
      <w:r>
        <w:rPr>
          <w:rFonts w:hint="eastAsia"/>
        </w:rPr>
        <w:t>第十二章  关于中小企业划型标准规定</w:t>
      </w:r>
    </w:p>
    <w:p>
      <w:pPr>
        <w:spacing w:after="60" w:line="360" w:lineRule="auto"/>
        <w:ind w:firstLine="420" w:firstLineChars="200"/>
        <w:rPr>
          <w:rFonts w:ascii="宋体" w:hAnsi="宋体"/>
          <w:szCs w:val="21"/>
        </w:rPr>
      </w:pPr>
      <w:r>
        <w:rPr>
          <w:rFonts w:ascii="宋体" w:hAnsi="宋体"/>
          <w:szCs w:val="21"/>
        </w:rPr>
        <w:t>一、根据《中华人民共和国中小企业促进法》和《国务院关于进一步促进中小企业发展的若干意见》(国发〔2009〕36号)，制定本规定。</w:t>
      </w:r>
    </w:p>
    <w:p>
      <w:pPr>
        <w:spacing w:after="60" w:line="360" w:lineRule="auto"/>
        <w:rPr>
          <w:rFonts w:ascii="宋体" w:hAnsi="宋体"/>
          <w:szCs w:val="21"/>
        </w:rPr>
      </w:pPr>
      <w:r>
        <w:rPr>
          <w:rFonts w:ascii="宋体" w:hAnsi="宋体"/>
          <w:szCs w:val="21"/>
        </w:rPr>
        <w:t>　　二、中小企业划分为中型、小型、微型三种类型，具体标准根据企业从业人员、营业收入、资产总额等指标，结合行业特点制定。</w:t>
      </w:r>
    </w:p>
    <w:p>
      <w:pPr>
        <w:spacing w:after="60" w:line="360" w:lineRule="auto"/>
        <w:rPr>
          <w:rFonts w:ascii="宋体" w:hAnsi="宋体"/>
          <w:szCs w:val="21"/>
        </w:rPr>
      </w:pPr>
      <w:r>
        <w:rPr>
          <w:rFonts w:ascii="宋体" w:hAnsi="宋体"/>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rPr>
          <w:rFonts w:ascii="宋体" w:hAnsi="宋体"/>
          <w:szCs w:val="21"/>
        </w:rPr>
      </w:pPr>
      <w:r>
        <w:rPr>
          <w:rFonts w:ascii="宋体" w:hAnsi="宋体"/>
          <w:szCs w:val="21"/>
        </w:rPr>
        <w:t>　　四、各行业划型标准为：</w:t>
      </w:r>
    </w:p>
    <w:p>
      <w:pPr>
        <w:spacing w:after="60" w:line="360" w:lineRule="auto"/>
        <w:rPr>
          <w:rFonts w:ascii="宋体" w:hAnsi="宋体"/>
          <w:szCs w:val="21"/>
        </w:rPr>
      </w:pPr>
      <w:r>
        <w:rPr>
          <w:rFonts w:ascii="宋体" w:hAnsi="宋体"/>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rPr>
          <w:rFonts w:ascii="宋体" w:hAnsi="宋体"/>
          <w:szCs w:val="21"/>
        </w:rPr>
      </w:pPr>
      <w:r>
        <w:rPr>
          <w:rFonts w:ascii="宋体" w:hAnsi="宋体"/>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rPr>
          <w:rFonts w:ascii="宋体" w:hAnsi="宋体"/>
          <w:szCs w:val="21"/>
        </w:rPr>
      </w:pPr>
      <w:r>
        <w:rPr>
          <w:rFonts w:ascii="宋体" w:hAnsi="宋体"/>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rPr>
          <w:rFonts w:ascii="宋体" w:hAnsi="宋体"/>
          <w:szCs w:val="21"/>
        </w:rPr>
      </w:pPr>
      <w:r>
        <w:rPr>
          <w:rFonts w:ascii="宋体" w:hAnsi="宋体"/>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rPr>
          <w:rFonts w:ascii="宋体" w:hAnsi="宋体"/>
          <w:szCs w:val="21"/>
        </w:rPr>
      </w:pPr>
      <w:r>
        <w:rPr>
          <w:rFonts w:ascii="宋体" w:hAnsi="宋体"/>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rPr>
          <w:rFonts w:ascii="宋体" w:hAnsi="宋体"/>
          <w:szCs w:val="21"/>
        </w:rPr>
      </w:pPr>
      <w:r>
        <w:rPr>
          <w:rFonts w:ascii="宋体" w:hAnsi="宋体"/>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rPr>
          <w:rFonts w:ascii="宋体" w:hAnsi="宋体"/>
          <w:szCs w:val="21"/>
        </w:rPr>
      </w:pPr>
      <w:r>
        <w:rPr>
          <w:rFonts w:ascii="宋体" w:hAnsi="宋体"/>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rPr>
          <w:rFonts w:ascii="宋体" w:hAnsi="宋体"/>
          <w:szCs w:val="21"/>
        </w:rPr>
      </w:pPr>
      <w:r>
        <w:rPr>
          <w:rFonts w:ascii="宋体" w:hAnsi="宋体"/>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rPr>
          <w:rFonts w:ascii="宋体" w:hAnsi="宋体"/>
          <w:szCs w:val="21"/>
        </w:rPr>
      </w:pPr>
      <w:r>
        <w:rPr>
          <w:rFonts w:ascii="宋体" w:hAnsi="宋体"/>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rPr>
          <w:rFonts w:ascii="宋体" w:hAnsi="宋体"/>
          <w:szCs w:val="21"/>
        </w:rPr>
      </w:pPr>
      <w:r>
        <w:rPr>
          <w:rFonts w:ascii="宋体" w:hAnsi="宋体"/>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rPr>
          <w:rFonts w:ascii="宋体" w:hAnsi="宋体"/>
          <w:szCs w:val="21"/>
        </w:rPr>
      </w:pPr>
      <w:r>
        <w:rPr>
          <w:rFonts w:ascii="宋体" w:hAnsi="宋体"/>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rPr>
          <w:rFonts w:ascii="宋体" w:hAnsi="宋体"/>
          <w:szCs w:val="21"/>
        </w:rPr>
      </w:pPr>
      <w:r>
        <w:rPr>
          <w:rFonts w:ascii="宋体" w:hAnsi="宋体"/>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rPr>
          <w:rFonts w:ascii="宋体" w:hAnsi="宋体"/>
          <w:szCs w:val="21"/>
        </w:rPr>
      </w:pPr>
      <w:r>
        <w:rPr>
          <w:rFonts w:ascii="宋体" w:hAnsi="宋体"/>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rPr>
          <w:rFonts w:ascii="宋体" w:hAnsi="宋体"/>
          <w:szCs w:val="21"/>
        </w:rPr>
      </w:pPr>
      <w:r>
        <w:rPr>
          <w:rFonts w:ascii="宋体" w:hAnsi="宋体"/>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rPr>
          <w:rFonts w:ascii="宋体" w:hAnsi="宋体"/>
          <w:szCs w:val="21"/>
        </w:rPr>
      </w:pPr>
      <w:r>
        <w:rPr>
          <w:rFonts w:ascii="宋体" w:hAnsi="宋体"/>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rPr>
          <w:rFonts w:ascii="宋体" w:hAnsi="宋体"/>
          <w:szCs w:val="21"/>
        </w:rPr>
      </w:pPr>
      <w:r>
        <w:rPr>
          <w:rFonts w:ascii="宋体" w:hAnsi="宋体"/>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rPr>
          <w:rFonts w:ascii="宋体" w:hAnsi="宋体"/>
          <w:szCs w:val="21"/>
        </w:rPr>
      </w:pPr>
      <w:r>
        <w:rPr>
          <w:rFonts w:ascii="宋体" w:hAnsi="宋体"/>
          <w:szCs w:val="21"/>
        </w:rPr>
        <w:t>　　五、企业类型的划分以统计部门的统计数据为依据。</w:t>
      </w:r>
    </w:p>
    <w:p>
      <w:pPr>
        <w:spacing w:after="60" w:line="360" w:lineRule="auto"/>
        <w:rPr>
          <w:rFonts w:ascii="宋体" w:hAnsi="宋体"/>
          <w:szCs w:val="21"/>
        </w:rPr>
      </w:pPr>
      <w:r>
        <w:rPr>
          <w:rFonts w:ascii="宋体" w:hAnsi="宋体"/>
          <w:szCs w:val="21"/>
        </w:rPr>
        <w:t>　　六、本规定适用于在中华人民共和国境内依法设立的各类所有制和各种组织形式的企业。个体工商户和本规定以外的行业，参照本规定进行划型。</w:t>
      </w:r>
    </w:p>
    <w:p>
      <w:pPr>
        <w:spacing w:after="60" w:line="360" w:lineRule="auto"/>
        <w:rPr>
          <w:rFonts w:ascii="宋体" w:hAnsi="宋体"/>
          <w:szCs w:val="21"/>
        </w:rPr>
      </w:pPr>
      <w:r>
        <w:rPr>
          <w:rFonts w:ascii="宋体" w:hAnsi="宋体"/>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rPr>
          <w:rFonts w:ascii="宋体" w:hAnsi="宋体"/>
          <w:szCs w:val="21"/>
        </w:rPr>
      </w:pPr>
      <w:r>
        <w:rPr>
          <w:rFonts w:ascii="宋体" w:hAnsi="宋体"/>
          <w:szCs w:val="21"/>
        </w:rPr>
        <w:t>　　八、本规定由工业和信息化部、国家统计局会同有关部门根据《国民经济行业分类》修订情况和企业发展变化情况适时修订。</w:t>
      </w:r>
    </w:p>
    <w:p>
      <w:pPr>
        <w:spacing w:after="60" w:line="360" w:lineRule="auto"/>
        <w:rPr>
          <w:rFonts w:ascii="宋体" w:hAnsi="宋体"/>
          <w:szCs w:val="21"/>
        </w:rPr>
      </w:pPr>
      <w:r>
        <w:rPr>
          <w:rFonts w:ascii="宋体" w:hAnsi="宋体"/>
          <w:szCs w:val="21"/>
        </w:rPr>
        <w:t>　　九、本规定由工业和信息化部、国家统计局会同有关部门负责解释。</w:t>
      </w:r>
    </w:p>
    <w:p>
      <w:pPr>
        <w:spacing w:after="60" w:line="360" w:lineRule="auto"/>
        <w:rPr>
          <w:rFonts w:ascii="宋体" w:hAnsi="宋体"/>
          <w:szCs w:val="21"/>
        </w:rPr>
      </w:pPr>
      <w:r>
        <w:rPr>
          <w:rFonts w:ascii="宋体" w:hAnsi="宋体"/>
          <w:szCs w:val="21"/>
        </w:rPr>
        <w:t>　　十、本规定自发布之日起执行，原国家经贸委、原国家计委、财政部和国家统计局2003年颁布的《中小企业标准暂行规定》同时废止</w:t>
      </w:r>
      <w:r>
        <w:rPr>
          <w:rFonts w:hint="eastAsia" w:ascii="宋体" w:hAnsi="宋体"/>
          <w:szCs w:val="21"/>
        </w:rPr>
        <w:t>。</w:t>
      </w:r>
    </w:p>
    <w:p>
      <w:pPr>
        <w:spacing w:after="60" w:line="360" w:lineRule="auto"/>
        <w:ind w:firstLine="420"/>
        <w:rPr>
          <w:rFonts w:ascii="宋体" w:hAnsi="宋体"/>
          <w:szCs w:val="21"/>
        </w:rPr>
      </w:pPr>
    </w:p>
    <w:p>
      <w:pPr>
        <w:spacing w:after="60"/>
        <w:rPr>
          <w:rFonts w:asciiTheme="minorEastAsia" w:hAnsiTheme="minorEastAsia" w:eastAsiaTheme="minorEastAsia"/>
          <w:szCs w:val="21"/>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Pr>
        <w:spacing w:after="60" w:line="360" w:lineRule="auto"/>
        <w:ind w:firstLine="420" w:firstLineChars="200"/>
        <w:rPr>
          <w:rFonts w:asciiTheme="minorEastAsia" w:hAnsiTheme="minorEastAsia" w:eastAsiaTheme="minorEastAsia"/>
          <w:szCs w:val="21"/>
        </w:rPr>
      </w:pPr>
    </w:p>
    <w:sectPr>
      <w:pgSz w:w="11907" w:h="16840"/>
      <w:pgMar w:top="1440" w:right="1843" w:bottom="1440" w:left="1276" w:header="851" w:footer="698" w:gutter="0"/>
      <w:cols w:space="720" w:num="1"/>
      <w:docGrid w:linePitch="271" w:charSpace="465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Hei">
    <w:altName w:val="URW Bookman"/>
    <w:panose1 w:val="00000000000000000000"/>
    <w:charset w:val="00"/>
    <w:family w:val="roman"/>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幼圆">
    <w:panose1 w:val="02010509060101010101"/>
    <w:charset w:val="86"/>
    <w:family w:val="modern"/>
    <w:pitch w:val="default"/>
    <w:sig w:usb0="00000001" w:usb1="080E0000" w:usb2="00000000" w:usb3="00000000" w:csb0="00040000" w:csb1="00000000"/>
  </w:font>
  <w:font w:name="Helvetica">
    <w:altName w:val="FreeSans"/>
    <w:panose1 w:val="020B0504020202030204"/>
    <w:charset w:val="00"/>
    <w:family w:val="swiss"/>
    <w:pitch w:val="default"/>
    <w:sig w:usb0="00000000" w:usb1="00000000" w:usb2="00000000" w:usb3="00000000" w:csb0="00000093" w:csb1="00000000"/>
  </w:font>
  <w:font w:name="Tahoma">
    <w:altName w:val="DejaVu Sans"/>
    <w:panose1 w:val="020B0604030504040204"/>
    <w:charset w:val="00"/>
    <w:family w:val="swiss"/>
    <w:pitch w:val="default"/>
    <w:sig w:usb0="00000000" w:usb1="00000000" w:usb2="00000029" w:usb3="00000000" w:csb0="200101FF" w:csb1="2028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ˎ̥">
    <w:altName w:val="华文仿宋"/>
    <w:panose1 w:val="00000000000000000000"/>
    <w:charset w:val="00"/>
    <w:family w:val="roman"/>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after="60"/>
    </w:pPr>
    <w:r>
      <w:pict>
        <v:shape id="文本框 5" o:spid="_x0000_s4097" o:spt="202" type="#_x0000_t202" style="position:absolute;left:0pt;margin-top:0pt;height:16.75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">
          <v:path/>
          <v:fill on="f" focussize="0,0"/>
          <v:stroke on="f" joinstyle="miter"/>
          <v:imagedata o:title=""/>
          <o:lock v:ext="edit"/>
          <v:textbox inset="0mm,0mm,0mm,0mm" style="mso-fit-shape-to-text:t;">
            <w:txbxContent>
              <w:p>
                <w:pPr>
                  <w:pStyle w:val="28"/>
                  <w:spacing w:after="6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183"/>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203"/>
      <w:lvlText w:val=""/>
      <w:lvlJc w:val="left"/>
      <w:pPr>
        <w:tabs>
          <w:tab w:val="left" w:pos="420"/>
        </w:tabs>
        <w:ind w:left="420" w:hanging="420"/>
      </w:pPr>
      <w:rPr>
        <w:rFonts w:hint="default" w:ascii="Wingdings" w:hAnsi="Wingdings"/>
      </w:rPr>
    </w:lvl>
    <w:lvl w:ilvl="1" w:tentative="0">
      <w:start w:val="1"/>
      <w:numFmt w:val="bullet"/>
      <w:pStyle w:val="20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192"/>
      <w:lvlText w:val=""/>
      <w:lvlJc w:val="left"/>
      <w:pPr>
        <w:tabs>
          <w:tab w:val="left" w:pos="840"/>
        </w:tabs>
        <w:ind w:left="840" w:hanging="420"/>
      </w:pPr>
      <w:rPr>
        <w:rFonts w:hint="default" w:ascii="Wingdings" w:hAnsi="Wingdings"/>
      </w:rPr>
    </w:lvl>
    <w:lvl w:ilvl="1" w:tentative="0">
      <w:start w:val="1"/>
      <w:numFmt w:val="bullet"/>
      <w:pStyle w:val="19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261"/>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3FE74C73"/>
    <w:multiLevelType w:val="multilevel"/>
    <w:tmpl w:val="3FE74C73"/>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AEF7716"/>
    <w:multiLevelType w:val="multilevel"/>
    <w:tmpl w:val="7AEF7716"/>
    <w:lvl w:ilvl="0" w:tentative="0">
      <w:start w:val="1"/>
      <w:numFmt w:val="chineseCountingThousand"/>
      <w:pStyle w:val="21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437"/>
  <w:drawingGridVerticalSpacing w:val="156"/>
  <w:displayHorizontalDrawingGridEvery w:val="0"/>
  <w:displayVerticalDrawingGridEvery w:val="2"/>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0CB0"/>
    <w:rsid w:val="0000559C"/>
    <w:rsid w:val="00007EA5"/>
    <w:rsid w:val="00014E0D"/>
    <w:rsid w:val="00015C0E"/>
    <w:rsid w:val="00015CA8"/>
    <w:rsid w:val="00016EA6"/>
    <w:rsid w:val="000210A2"/>
    <w:rsid w:val="00022717"/>
    <w:rsid w:val="00024294"/>
    <w:rsid w:val="00030820"/>
    <w:rsid w:val="00032B6F"/>
    <w:rsid w:val="00036D02"/>
    <w:rsid w:val="000420E8"/>
    <w:rsid w:val="00042C0D"/>
    <w:rsid w:val="00043372"/>
    <w:rsid w:val="000459C8"/>
    <w:rsid w:val="0004695D"/>
    <w:rsid w:val="00052102"/>
    <w:rsid w:val="00052526"/>
    <w:rsid w:val="00052540"/>
    <w:rsid w:val="000535B4"/>
    <w:rsid w:val="00055135"/>
    <w:rsid w:val="0005555B"/>
    <w:rsid w:val="00060B33"/>
    <w:rsid w:val="00063DA2"/>
    <w:rsid w:val="00066BCD"/>
    <w:rsid w:val="00066C43"/>
    <w:rsid w:val="000701C3"/>
    <w:rsid w:val="00070D7B"/>
    <w:rsid w:val="00070E51"/>
    <w:rsid w:val="00071111"/>
    <w:rsid w:val="00071293"/>
    <w:rsid w:val="00071A14"/>
    <w:rsid w:val="0007544A"/>
    <w:rsid w:val="000757D0"/>
    <w:rsid w:val="00076EC3"/>
    <w:rsid w:val="000772D6"/>
    <w:rsid w:val="00080752"/>
    <w:rsid w:val="00081786"/>
    <w:rsid w:val="000821E8"/>
    <w:rsid w:val="000829A8"/>
    <w:rsid w:val="00083016"/>
    <w:rsid w:val="0008400E"/>
    <w:rsid w:val="00090D4C"/>
    <w:rsid w:val="000936C9"/>
    <w:rsid w:val="0009390D"/>
    <w:rsid w:val="00093B33"/>
    <w:rsid w:val="00095165"/>
    <w:rsid w:val="000A7DA3"/>
    <w:rsid w:val="000B0C8E"/>
    <w:rsid w:val="000B0F9E"/>
    <w:rsid w:val="000B2069"/>
    <w:rsid w:val="000B4383"/>
    <w:rsid w:val="000B4CBC"/>
    <w:rsid w:val="000B5393"/>
    <w:rsid w:val="000B7190"/>
    <w:rsid w:val="000C52EB"/>
    <w:rsid w:val="000C540F"/>
    <w:rsid w:val="000C5E28"/>
    <w:rsid w:val="000C5EE9"/>
    <w:rsid w:val="000C6A8A"/>
    <w:rsid w:val="000C6B82"/>
    <w:rsid w:val="000C7ECB"/>
    <w:rsid w:val="000D16BB"/>
    <w:rsid w:val="000D6088"/>
    <w:rsid w:val="000D7C56"/>
    <w:rsid w:val="000F0FC4"/>
    <w:rsid w:val="000F18FF"/>
    <w:rsid w:val="000F489D"/>
    <w:rsid w:val="000F6485"/>
    <w:rsid w:val="000F68FC"/>
    <w:rsid w:val="000F724E"/>
    <w:rsid w:val="001017D4"/>
    <w:rsid w:val="00102A33"/>
    <w:rsid w:val="0010330A"/>
    <w:rsid w:val="001045D6"/>
    <w:rsid w:val="00113740"/>
    <w:rsid w:val="00114ED4"/>
    <w:rsid w:val="00124790"/>
    <w:rsid w:val="0012571E"/>
    <w:rsid w:val="001278A2"/>
    <w:rsid w:val="001306A3"/>
    <w:rsid w:val="00132675"/>
    <w:rsid w:val="0013584F"/>
    <w:rsid w:val="001463AC"/>
    <w:rsid w:val="001468FA"/>
    <w:rsid w:val="0015189A"/>
    <w:rsid w:val="00153943"/>
    <w:rsid w:val="00156BD4"/>
    <w:rsid w:val="00156E46"/>
    <w:rsid w:val="00156EE2"/>
    <w:rsid w:val="00157FEF"/>
    <w:rsid w:val="001635FD"/>
    <w:rsid w:val="00163F8E"/>
    <w:rsid w:val="001650E3"/>
    <w:rsid w:val="001656CE"/>
    <w:rsid w:val="00172739"/>
    <w:rsid w:val="001737CD"/>
    <w:rsid w:val="00174D22"/>
    <w:rsid w:val="00177726"/>
    <w:rsid w:val="0018303E"/>
    <w:rsid w:val="001838A9"/>
    <w:rsid w:val="001850E2"/>
    <w:rsid w:val="0018511B"/>
    <w:rsid w:val="00185D60"/>
    <w:rsid w:val="00186AC4"/>
    <w:rsid w:val="00186FA7"/>
    <w:rsid w:val="0019291F"/>
    <w:rsid w:val="001940F6"/>
    <w:rsid w:val="00196568"/>
    <w:rsid w:val="001970A5"/>
    <w:rsid w:val="001A54E2"/>
    <w:rsid w:val="001A76DF"/>
    <w:rsid w:val="001B3300"/>
    <w:rsid w:val="001B3E88"/>
    <w:rsid w:val="001B423F"/>
    <w:rsid w:val="001C2B1A"/>
    <w:rsid w:val="001C32B7"/>
    <w:rsid w:val="001C7105"/>
    <w:rsid w:val="001D05EF"/>
    <w:rsid w:val="001D2139"/>
    <w:rsid w:val="001D476D"/>
    <w:rsid w:val="001D5339"/>
    <w:rsid w:val="001E2072"/>
    <w:rsid w:val="001E2DC6"/>
    <w:rsid w:val="001E337E"/>
    <w:rsid w:val="001E5E43"/>
    <w:rsid w:val="001E6386"/>
    <w:rsid w:val="001E7FAD"/>
    <w:rsid w:val="001F2960"/>
    <w:rsid w:val="001F3888"/>
    <w:rsid w:val="001F4577"/>
    <w:rsid w:val="001F47BB"/>
    <w:rsid w:val="001F4919"/>
    <w:rsid w:val="001F79D7"/>
    <w:rsid w:val="00200067"/>
    <w:rsid w:val="00200831"/>
    <w:rsid w:val="0020192C"/>
    <w:rsid w:val="002056DD"/>
    <w:rsid w:val="00205B87"/>
    <w:rsid w:val="00214CC2"/>
    <w:rsid w:val="002159A8"/>
    <w:rsid w:val="00221A60"/>
    <w:rsid w:val="0022319A"/>
    <w:rsid w:val="00223364"/>
    <w:rsid w:val="00223EA3"/>
    <w:rsid w:val="00224E93"/>
    <w:rsid w:val="0022560E"/>
    <w:rsid w:val="00226495"/>
    <w:rsid w:val="00230618"/>
    <w:rsid w:val="0023494D"/>
    <w:rsid w:val="00234DE7"/>
    <w:rsid w:val="0023569F"/>
    <w:rsid w:val="002378A8"/>
    <w:rsid w:val="00242197"/>
    <w:rsid w:val="00242A08"/>
    <w:rsid w:val="00243CA4"/>
    <w:rsid w:val="00244257"/>
    <w:rsid w:val="00246B01"/>
    <w:rsid w:val="00253455"/>
    <w:rsid w:val="00254C79"/>
    <w:rsid w:val="00256E40"/>
    <w:rsid w:val="00261CF9"/>
    <w:rsid w:val="00265091"/>
    <w:rsid w:val="00265334"/>
    <w:rsid w:val="00266F0C"/>
    <w:rsid w:val="0026735B"/>
    <w:rsid w:val="00267639"/>
    <w:rsid w:val="002701AE"/>
    <w:rsid w:val="00270A6A"/>
    <w:rsid w:val="00271C86"/>
    <w:rsid w:val="00272CB4"/>
    <w:rsid w:val="002732BA"/>
    <w:rsid w:val="00277742"/>
    <w:rsid w:val="00277F7E"/>
    <w:rsid w:val="00282C38"/>
    <w:rsid w:val="00283285"/>
    <w:rsid w:val="0028482A"/>
    <w:rsid w:val="00284F80"/>
    <w:rsid w:val="00287889"/>
    <w:rsid w:val="00287AD4"/>
    <w:rsid w:val="0029334C"/>
    <w:rsid w:val="002943FF"/>
    <w:rsid w:val="0029556E"/>
    <w:rsid w:val="00295696"/>
    <w:rsid w:val="002965F2"/>
    <w:rsid w:val="002975B1"/>
    <w:rsid w:val="002A13DF"/>
    <w:rsid w:val="002A2A8E"/>
    <w:rsid w:val="002A5047"/>
    <w:rsid w:val="002A5F80"/>
    <w:rsid w:val="002B2B65"/>
    <w:rsid w:val="002B2E6F"/>
    <w:rsid w:val="002B3CFA"/>
    <w:rsid w:val="002B4947"/>
    <w:rsid w:val="002B5985"/>
    <w:rsid w:val="002B7103"/>
    <w:rsid w:val="002C0374"/>
    <w:rsid w:val="002C0E7B"/>
    <w:rsid w:val="002C2F20"/>
    <w:rsid w:val="002C5B01"/>
    <w:rsid w:val="002C7D32"/>
    <w:rsid w:val="002D5CB4"/>
    <w:rsid w:val="002D7F0A"/>
    <w:rsid w:val="002E01F0"/>
    <w:rsid w:val="002E1C80"/>
    <w:rsid w:val="002E2CC5"/>
    <w:rsid w:val="002F0AF8"/>
    <w:rsid w:val="002F1BED"/>
    <w:rsid w:val="002F4A55"/>
    <w:rsid w:val="002F4C51"/>
    <w:rsid w:val="002F5C1D"/>
    <w:rsid w:val="002F5D8B"/>
    <w:rsid w:val="0030107A"/>
    <w:rsid w:val="00303E3F"/>
    <w:rsid w:val="003061CA"/>
    <w:rsid w:val="0030658A"/>
    <w:rsid w:val="00307D6E"/>
    <w:rsid w:val="00312FFD"/>
    <w:rsid w:val="0031418F"/>
    <w:rsid w:val="00315611"/>
    <w:rsid w:val="00315FEA"/>
    <w:rsid w:val="003206C1"/>
    <w:rsid w:val="0032241A"/>
    <w:rsid w:val="0032385C"/>
    <w:rsid w:val="003246A2"/>
    <w:rsid w:val="00324B62"/>
    <w:rsid w:val="00326260"/>
    <w:rsid w:val="00330C9E"/>
    <w:rsid w:val="0033393A"/>
    <w:rsid w:val="003367B1"/>
    <w:rsid w:val="00336AA8"/>
    <w:rsid w:val="00344091"/>
    <w:rsid w:val="00344967"/>
    <w:rsid w:val="00350AC0"/>
    <w:rsid w:val="00351B7F"/>
    <w:rsid w:val="0035382E"/>
    <w:rsid w:val="0035394A"/>
    <w:rsid w:val="003576AD"/>
    <w:rsid w:val="003625C4"/>
    <w:rsid w:val="003628E8"/>
    <w:rsid w:val="003641A6"/>
    <w:rsid w:val="0036593E"/>
    <w:rsid w:val="00366B06"/>
    <w:rsid w:val="00370AB1"/>
    <w:rsid w:val="00372014"/>
    <w:rsid w:val="0037493F"/>
    <w:rsid w:val="003770C3"/>
    <w:rsid w:val="00380EC1"/>
    <w:rsid w:val="003812B4"/>
    <w:rsid w:val="00383D5D"/>
    <w:rsid w:val="003870D5"/>
    <w:rsid w:val="00390784"/>
    <w:rsid w:val="00390EF9"/>
    <w:rsid w:val="00392379"/>
    <w:rsid w:val="00392440"/>
    <w:rsid w:val="00392FBD"/>
    <w:rsid w:val="00393A17"/>
    <w:rsid w:val="00393C31"/>
    <w:rsid w:val="00393C37"/>
    <w:rsid w:val="00394156"/>
    <w:rsid w:val="00395937"/>
    <w:rsid w:val="00396190"/>
    <w:rsid w:val="00397E18"/>
    <w:rsid w:val="003A222B"/>
    <w:rsid w:val="003A4B0B"/>
    <w:rsid w:val="003A7945"/>
    <w:rsid w:val="003B07F3"/>
    <w:rsid w:val="003B20F5"/>
    <w:rsid w:val="003B384E"/>
    <w:rsid w:val="003B4DC6"/>
    <w:rsid w:val="003C1AC1"/>
    <w:rsid w:val="003C205C"/>
    <w:rsid w:val="003C2ACC"/>
    <w:rsid w:val="003C36A0"/>
    <w:rsid w:val="003C5256"/>
    <w:rsid w:val="003D1618"/>
    <w:rsid w:val="003D4219"/>
    <w:rsid w:val="003D4C8B"/>
    <w:rsid w:val="003D6B21"/>
    <w:rsid w:val="003E258C"/>
    <w:rsid w:val="003E258F"/>
    <w:rsid w:val="003E5006"/>
    <w:rsid w:val="003E7698"/>
    <w:rsid w:val="003E79A0"/>
    <w:rsid w:val="003F7086"/>
    <w:rsid w:val="00401FA0"/>
    <w:rsid w:val="00404078"/>
    <w:rsid w:val="00404B75"/>
    <w:rsid w:val="0040616C"/>
    <w:rsid w:val="00407AC3"/>
    <w:rsid w:val="00407F80"/>
    <w:rsid w:val="00411E0C"/>
    <w:rsid w:val="00417D44"/>
    <w:rsid w:val="00420291"/>
    <w:rsid w:val="00420B1B"/>
    <w:rsid w:val="0042151D"/>
    <w:rsid w:val="00421870"/>
    <w:rsid w:val="004224AC"/>
    <w:rsid w:val="00422D08"/>
    <w:rsid w:val="00423593"/>
    <w:rsid w:val="00424133"/>
    <w:rsid w:val="00426E82"/>
    <w:rsid w:val="004302D4"/>
    <w:rsid w:val="0043074F"/>
    <w:rsid w:val="00432132"/>
    <w:rsid w:val="00433085"/>
    <w:rsid w:val="00433A9D"/>
    <w:rsid w:val="00434D80"/>
    <w:rsid w:val="00436730"/>
    <w:rsid w:val="00436A8A"/>
    <w:rsid w:val="0043731D"/>
    <w:rsid w:val="004412E5"/>
    <w:rsid w:val="00443A52"/>
    <w:rsid w:val="004448CD"/>
    <w:rsid w:val="00445CB7"/>
    <w:rsid w:val="00446904"/>
    <w:rsid w:val="00447771"/>
    <w:rsid w:val="0044777C"/>
    <w:rsid w:val="00447C4F"/>
    <w:rsid w:val="00447F34"/>
    <w:rsid w:val="00450D40"/>
    <w:rsid w:val="004523A9"/>
    <w:rsid w:val="004524C7"/>
    <w:rsid w:val="00453039"/>
    <w:rsid w:val="0045573A"/>
    <w:rsid w:val="004560D0"/>
    <w:rsid w:val="00457407"/>
    <w:rsid w:val="00461AEC"/>
    <w:rsid w:val="00461C73"/>
    <w:rsid w:val="0046382E"/>
    <w:rsid w:val="004648F6"/>
    <w:rsid w:val="004670BF"/>
    <w:rsid w:val="0047011F"/>
    <w:rsid w:val="004709A0"/>
    <w:rsid w:val="004710EE"/>
    <w:rsid w:val="00472AB3"/>
    <w:rsid w:val="004804C4"/>
    <w:rsid w:val="00480B4A"/>
    <w:rsid w:val="00482B5B"/>
    <w:rsid w:val="00483B57"/>
    <w:rsid w:val="00484598"/>
    <w:rsid w:val="00484B84"/>
    <w:rsid w:val="00491176"/>
    <w:rsid w:val="0049235C"/>
    <w:rsid w:val="004A039B"/>
    <w:rsid w:val="004A2043"/>
    <w:rsid w:val="004A4C25"/>
    <w:rsid w:val="004A6E18"/>
    <w:rsid w:val="004A7D2D"/>
    <w:rsid w:val="004B14A8"/>
    <w:rsid w:val="004B305D"/>
    <w:rsid w:val="004B4C0C"/>
    <w:rsid w:val="004B4FFE"/>
    <w:rsid w:val="004C05DC"/>
    <w:rsid w:val="004C1DA4"/>
    <w:rsid w:val="004C27D0"/>
    <w:rsid w:val="004C4858"/>
    <w:rsid w:val="004D154A"/>
    <w:rsid w:val="004D1E9F"/>
    <w:rsid w:val="004D2319"/>
    <w:rsid w:val="004E44A2"/>
    <w:rsid w:val="004E4BD0"/>
    <w:rsid w:val="004E5863"/>
    <w:rsid w:val="004E736B"/>
    <w:rsid w:val="004F28D8"/>
    <w:rsid w:val="004F29F5"/>
    <w:rsid w:val="004F503E"/>
    <w:rsid w:val="004F53DB"/>
    <w:rsid w:val="004F5719"/>
    <w:rsid w:val="004F7DA8"/>
    <w:rsid w:val="005000AB"/>
    <w:rsid w:val="00501E7D"/>
    <w:rsid w:val="00504194"/>
    <w:rsid w:val="005041C6"/>
    <w:rsid w:val="00510364"/>
    <w:rsid w:val="0051386F"/>
    <w:rsid w:val="00515948"/>
    <w:rsid w:val="00516EC1"/>
    <w:rsid w:val="005220FF"/>
    <w:rsid w:val="005251A9"/>
    <w:rsid w:val="005254EB"/>
    <w:rsid w:val="00525E25"/>
    <w:rsid w:val="005267A1"/>
    <w:rsid w:val="00530276"/>
    <w:rsid w:val="00537F4B"/>
    <w:rsid w:val="00542EC8"/>
    <w:rsid w:val="00544D9F"/>
    <w:rsid w:val="00545697"/>
    <w:rsid w:val="00545E80"/>
    <w:rsid w:val="005502CE"/>
    <w:rsid w:val="00550A6F"/>
    <w:rsid w:val="00551912"/>
    <w:rsid w:val="00551C29"/>
    <w:rsid w:val="00552788"/>
    <w:rsid w:val="00553688"/>
    <w:rsid w:val="005537E3"/>
    <w:rsid w:val="00554AB5"/>
    <w:rsid w:val="00560452"/>
    <w:rsid w:val="00561C94"/>
    <w:rsid w:val="00563845"/>
    <w:rsid w:val="00563E16"/>
    <w:rsid w:val="00564EAF"/>
    <w:rsid w:val="0056612C"/>
    <w:rsid w:val="00566621"/>
    <w:rsid w:val="005669B9"/>
    <w:rsid w:val="005702C5"/>
    <w:rsid w:val="005728DB"/>
    <w:rsid w:val="005800BC"/>
    <w:rsid w:val="00581624"/>
    <w:rsid w:val="005820BB"/>
    <w:rsid w:val="005849EC"/>
    <w:rsid w:val="00586354"/>
    <w:rsid w:val="005900E5"/>
    <w:rsid w:val="0059386D"/>
    <w:rsid w:val="00596E5B"/>
    <w:rsid w:val="005A21EB"/>
    <w:rsid w:val="005A2540"/>
    <w:rsid w:val="005A2FF4"/>
    <w:rsid w:val="005A30F7"/>
    <w:rsid w:val="005A5531"/>
    <w:rsid w:val="005A5F04"/>
    <w:rsid w:val="005A6791"/>
    <w:rsid w:val="005A71D0"/>
    <w:rsid w:val="005A7F11"/>
    <w:rsid w:val="005B348F"/>
    <w:rsid w:val="005B351C"/>
    <w:rsid w:val="005B4ABE"/>
    <w:rsid w:val="005B638C"/>
    <w:rsid w:val="005C16B2"/>
    <w:rsid w:val="005C4433"/>
    <w:rsid w:val="005C5E83"/>
    <w:rsid w:val="005C5FA5"/>
    <w:rsid w:val="005D0D98"/>
    <w:rsid w:val="005D3D1F"/>
    <w:rsid w:val="005D5504"/>
    <w:rsid w:val="005D5ED0"/>
    <w:rsid w:val="005D7864"/>
    <w:rsid w:val="005D787D"/>
    <w:rsid w:val="005E000D"/>
    <w:rsid w:val="005E05FB"/>
    <w:rsid w:val="005E175A"/>
    <w:rsid w:val="005E2C0F"/>
    <w:rsid w:val="005E4AC7"/>
    <w:rsid w:val="005E748B"/>
    <w:rsid w:val="005F0B21"/>
    <w:rsid w:val="005F4131"/>
    <w:rsid w:val="005F55D1"/>
    <w:rsid w:val="005F55FC"/>
    <w:rsid w:val="005F5E68"/>
    <w:rsid w:val="005F608C"/>
    <w:rsid w:val="005F6256"/>
    <w:rsid w:val="00600CCA"/>
    <w:rsid w:val="0060117A"/>
    <w:rsid w:val="00601D3D"/>
    <w:rsid w:val="00605A1B"/>
    <w:rsid w:val="0060744C"/>
    <w:rsid w:val="00607565"/>
    <w:rsid w:val="00611948"/>
    <w:rsid w:val="00613797"/>
    <w:rsid w:val="00613C08"/>
    <w:rsid w:val="00613FB1"/>
    <w:rsid w:val="00614362"/>
    <w:rsid w:val="00614D43"/>
    <w:rsid w:val="00614F10"/>
    <w:rsid w:val="00615218"/>
    <w:rsid w:val="00620A93"/>
    <w:rsid w:val="006216E3"/>
    <w:rsid w:val="00621E0F"/>
    <w:rsid w:val="00621F4A"/>
    <w:rsid w:val="006227A0"/>
    <w:rsid w:val="006235B2"/>
    <w:rsid w:val="006237D1"/>
    <w:rsid w:val="00627E30"/>
    <w:rsid w:val="00631C54"/>
    <w:rsid w:val="00635AE2"/>
    <w:rsid w:val="00635DB0"/>
    <w:rsid w:val="0063607B"/>
    <w:rsid w:val="006417F0"/>
    <w:rsid w:val="00641E77"/>
    <w:rsid w:val="00642B15"/>
    <w:rsid w:val="006459EC"/>
    <w:rsid w:val="00647A79"/>
    <w:rsid w:val="00651701"/>
    <w:rsid w:val="006543D1"/>
    <w:rsid w:val="00656D7C"/>
    <w:rsid w:val="00657B85"/>
    <w:rsid w:val="00661F09"/>
    <w:rsid w:val="00665EE4"/>
    <w:rsid w:val="00666B89"/>
    <w:rsid w:val="006678C0"/>
    <w:rsid w:val="00671967"/>
    <w:rsid w:val="00673585"/>
    <w:rsid w:val="006735C0"/>
    <w:rsid w:val="00675283"/>
    <w:rsid w:val="006763A0"/>
    <w:rsid w:val="0068027C"/>
    <w:rsid w:val="00680E14"/>
    <w:rsid w:val="006847C4"/>
    <w:rsid w:val="006869CB"/>
    <w:rsid w:val="0068746F"/>
    <w:rsid w:val="00691D1D"/>
    <w:rsid w:val="00695492"/>
    <w:rsid w:val="006970EA"/>
    <w:rsid w:val="00697AE4"/>
    <w:rsid w:val="006A2576"/>
    <w:rsid w:val="006A278C"/>
    <w:rsid w:val="006A2D67"/>
    <w:rsid w:val="006A7026"/>
    <w:rsid w:val="006A7E21"/>
    <w:rsid w:val="006B05AA"/>
    <w:rsid w:val="006B3D6F"/>
    <w:rsid w:val="006B4F25"/>
    <w:rsid w:val="006B702E"/>
    <w:rsid w:val="006C0A8C"/>
    <w:rsid w:val="006C288F"/>
    <w:rsid w:val="006C3F85"/>
    <w:rsid w:val="006C4D9F"/>
    <w:rsid w:val="006D044F"/>
    <w:rsid w:val="006D08E2"/>
    <w:rsid w:val="006D0C9A"/>
    <w:rsid w:val="006D1D46"/>
    <w:rsid w:val="006D2BED"/>
    <w:rsid w:val="006E0C28"/>
    <w:rsid w:val="006E22B6"/>
    <w:rsid w:val="006E23C7"/>
    <w:rsid w:val="006E7FFD"/>
    <w:rsid w:val="006F2F0F"/>
    <w:rsid w:val="006F723C"/>
    <w:rsid w:val="00700FB7"/>
    <w:rsid w:val="007040EC"/>
    <w:rsid w:val="007057A4"/>
    <w:rsid w:val="00705B4A"/>
    <w:rsid w:val="00710CB0"/>
    <w:rsid w:val="007114C3"/>
    <w:rsid w:val="00722719"/>
    <w:rsid w:val="007229C5"/>
    <w:rsid w:val="0072341F"/>
    <w:rsid w:val="0072607A"/>
    <w:rsid w:val="007266D7"/>
    <w:rsid w:val="00727048"/>
    <w:rsid w:val="007275AE"/>
    <w:rsid w:val="00727EA2"/>
    <w:rsid w:val="00731483"/>
    <w:rsid w:val="007328D3"/>
    <w:rsid w:val="0073374F"/>
    <w:rsid w:val="007349FE"/>
    <w:rsid w:val="00736B84"/>
    <w:rsid w:val="00737385"/>
    <w:rsid w:val="00737E67"/>
    <w:rsid w:val="00742A35"/>
    <w:rsid w:val="00743C18"/>
    <w:rsid w:val="007441E0"/>
    <w:rsid w:val="00744239"/>
    <w:rsid w:val="00745177"/>
    <w:rsid w:val="007475BA"/>
    <w:rsid w:val="00751050"/>
    <w:rsid w:val="007522C4"/>
    <w:rsid w:val="00752604"/>
    <w:rsid w:val="007534FF"/>
    <w:rsid w:val="007538B5"/>
    <w:rsid w:val="00753C77"/>
    <w:rsid w:val="007572FB"/>
    <w:rsid w:val="0076264E"/>
    <w:rsid w:val="00764F4A"/>
    <w:rsid w:val="00766CA8"/>
    <w:rsid w:val="007675A0"/>
    <w:rsid w:val="007701DA"/>
    <w:rsid w:val="00772F4A"/>
    <w:rsid w:val="007731CA"/>
    <w:rsid w:val="00775BFF"/>
    <w:rsid w:val="007813DD"/>
    <w:rsid w:val="0078270F"/>
    <w:rsid w:val="00782A1E"/>
    <w:rsid w:val="00783245"/>
    <w:rsid w:val="00784AD6"/>
    <w:rsid w:val="00785D25"/>
    <w:rsid w:val="00791514"/>
    <w:rsid w:val="00791A1F"/>
    <w:rsid w:val="00791C1D"/>
    <w:rsid w:val="007951B7"/>
    <w:rsid w:val="007A118C"/>
    <w:rsid w:val="007A19BF"/>
    <w:rsid w:val="007A2CA2"/>
    <w:rsid w:val="007A5BF4"/>
    <w:rsid w:val="007B0360"/>
    <w:rsid w:val="007B0D8B"/>
    <w:rsid w:val="007B2411"/>
    <w:rsid w:val="007B35B2"/>
    <w:rsid w:val="007C01E5"/>
    <w:rsid w:val="007C02BC"/>
    <w:rsid w:val="007C5B07"/>
    <w:rsid w:val="007D0890"/>
    <w:rsid w:val="007D08D3"/>
    <w:rsid w:val="007D18D0"/>
    <w:rsid w:val="007D232F"/>
    <w:rsid w:val="007D2E96"/>
    <w:rsid w:val="007D450F"/>
    <w:rsid w:val="007E4077"/>
    <w:rsid w:val="007E4114"/>
    <w:rsid w:val="007E7D2E"/>
    <w:rsid w:val="007F2956"/>
    <w:rsid w:val="007F2B3A"/>
    <w:rsid w:val="007F2E3B"/>
    <w:rsid w:val="007F4E3D"/>
    <w:rsid w:val="007F7078"/>
    <w:rsid w:val="00804344"/>
    <w:rsid w:val="00804B31"/>
    <w:rsid w:val="00805313"/>
    <w:rsid w:val="00805BF8"/>
    <w:rsid w:val="0081078B"/>
    <w:rsid w:val="00810F9F"/>
    <w:rsid w:val="00820C46"/>
    <w:rsid w:val="0082191C"/>
    <w:rsid w:val="00821CB2"/>
    <w:rsid w:val="008246CC"/>
    <w:rsid w:val="008249CB"/>
    <w:rsid w:val="00825007"/>
    <w:rsid w:val="00826B4B"/>
    <w:rsid w:val="008279F3"/>
    <w:rsid w:val="0083237C"/>
    <w:rsid w:val="00832D4C"/>
    <w:rsid w:val="008343DD"/>
    <w:rsid w:val="00837BE5"/>
    <w:rsid w:val="00843082"/>
    <w:rsid w:val="0084365A"/>
    <w:rsid w:val="00844D74"/>
    <w:rsid w:val="008466E0"/>
    <w:rsid w:val="0085286A"/>
    <w:rsid w:val="0086137E"/>
    <w:rsid w:val="0086282A"/>
    <w:rsid w:val="00863623"/>
    <w:rsid w:val="00864124"/>
    <w:rsid w:val="00866CEE"/>
    <w:rsid w:val="00867A2A"/>
    <w:rsid w:val="008736E2"/>
    <w:rsid w:val="0088011D"/>
    <w:rsid w:val="00882801"/>
    <w:rsid w:val="0088786E"/>
    <w:rsid w:val="0089044D"/>
    <w:rsid w:val="00894723"/>
    <w:rsid w:val="008958A4"/>
    <w:rsid w:val="008964E7"/>
    <w:rsid w:val="00897539"/>
    <w:rsid w:val="008A2164"/>
    <w:rsid w:val="008A2D4B"/>
    <w:rsid w:val="008A338A"/>
    <w:rsid w:val="008A6229"/>
    <w:rsid w:val="008A69F9"/>
    <w:rsid w:val="008B0F90"/>
    <w:rsid w:val="008B35C1"/>
    <w:rsid w:val="008B5165"/>
    <w:rsid w:val="008B60CE"/>
    <w:rsid w:val="008B6137"/>
    <w:rsid w:val="008B6D1A"/>
    <w:rsid w:val="008B78C2"/>
    <w:rsid w:val="008C054F"/>
    <w:rsid w:val="008C19C1"/>
    <w:rsid w:val="008C1DE8"/>
    <w:rsid w:val="008C2600"/>
    <w:rsid w:val="008C2741"/>
    <w:rsid w:val="008C5BFC"/>
    <w:rsid w:val="008D033D"/>
    <w:rsid w:val="008D26CD"/>
    <w:rsid w:val="008D38F2"/>
    <w:rsid w:val="008D5275"/>
    <w:rsid w:val="008D54DD"/>
    <w:rsid w:val="008D60EA"/>
    <w:rsid w:val="008D686C"/>
    <w:rsid w:val="008D755D"/>
    <w:rsid w:val="008E0695"/>
    <w:rsid w:val="008E2F56"/>
    <w:rsid w:val="008E35FD"/>
    <w:rsid w:val="008E44FA"/>
    <w:rsid w:val="008E4743"/>
    <w:rsid w:val="008E6ED2"/>
    <w:rsid w:val="008F0230"/>
    <w:rsid w:val="008F084B"/>
    <w:rsid w:val="008F19BD"/>
    <w:rsid w:val="008F28FA"/>
    <w:rsid w:val="008F620E"/>
    <w:rsid w:val="008F69BF"/>
    <w:rsid w:val="008F7114"/>
    <w:rsid w:val="008F7C71"/>
    <w:rsid w:val="00901180"/>
    <w:rsid w:val="009016E0"/>
    <w:rsid w:val="00902257"/>
    <w:rsid w:val="00904D1E"/>
    <w:rsid w:val="009065F1"/>
    <w:rsid w:val="00914BCE"/>
    <w:rsid w:val="00916C84"/>
    <w:rsid w:val="00921B7C"/>
    <w:rsid w:val="00925172"/>
    <w:rsid w:val="00930E76"/>
    <w:rsid w:val="00931509"/>
    <w:rsid w:val="00932948"/>
    <w:rsid w:val="00932A0C"/>
    <w:rsid w:val="00932E7B"/>
    <w:rsid w:val="009345C0"/>
    <w:rsid w:val="009365C3"/>
    <w:rsid w:val="00937D78"/>
    <w:rsid w:val="00942D7F"/>
    <w:rsid w:val="00944ED6"/>
    <w:rsid w:val="009474BD"/>
    <w:rsid w:val="00950E34"/>
    <w:rsid w:val="009527AC"/>
    <w:rsid w:val="00956577"/>
    <w:rsid w:val="00961297"/>
    <w:rsid w:val="009614AD"/>
    <w:rsid w:val="00963728"/>
    <w:rsid w:val="00965405"/>
    <w:rsid w:val="00966340"/>
    <w:rsid w:val="0096715F"/>
    <w:rsid w:val="009674B9"/>
    <w:rsid w:val="00970037"/>
    <w:rsid w:val="00971344"/>
    <w:rsid w:val="00971F8A"/>
    <w:rsid w:val="00975DC7"/>
    <w:rsid w:val="00977F13"/>
    <w:rsid w:val="009849C1"/>
    <w:rsid w:val="009A04E6"/>
    <w:rsid w:val="009A672B"/>
    <w:rsid w:val="009B1259"/>
    <w:rsid w:val="009B4168"/>
    <w:rsid w:val="009B5D91"/>
    <w:rsid w:val="009B7477"/>
    <w:rsid w:val="009C0793"/>
    <w:rsid w:val="009C4463"/>
    <w:rsid w:val="009C61CE"/>
    <w:rsid w:val="009D0239"/>
    <w:rsid w:val="009D4C44"/>
    <w:rsid w:val="009D67D6"/>
    <w:rsid w:val="009E285B"/>
    <w:rsid w:val="009E7B11"/>
    <w:rsid w:val="009F2494"/>
    <w:rsid w:val="009F343A"/>
    <w:rsid w:val="009F371A"/>
    <w:rsid w:val="009F5A68"/>
    <w:rsid w:val="009F6F8E"/>
    <w:rsid w:val="00A10513"/>
    <w:rsid w:val="00A1161B"/>
    <w:rsid w:val="00A12E07"/>
    <w:rsid w:val="00A14E93"/>
    <w:rsid w:val="00A174B0"/>
    <w:rsid w:val="00A21061"/>
    <w:rsid w:val="00A210AC"/>
    <w:rsid w:val="00A219A2"/>
    <w:rsid w:val="00A26A64"/>
    <w:rsid w:val="00A2714E"/>
    <w:rsid w:val="00A3225D"/>
    <w:rsid w:val="00A34C6F"/>
    <w:rsid w:val="00A40C1B"/>
    <w:rsid w:val="00A416DF"/>
    <w:rsid w:val="00A41C80"/>
    <w:rsid w:val="00A4263D"/>
    <w:rsid w:val="00A43D5A"/>
    <w:rsid w:val="00A44632"/>
    <w:rsid w:val="00A52520"/>
    <w:rsid w:val="00A52769"/>
    <w:rsid w:val="00A533A8"/>
    <w:rsid w:val="00A540C0"/>
    <w:rsid w:val="00A545AD"/>
    <w:rsid w:val="00A5595A"/>
    <w:rsid w:val="00A61D2E"/>
    <w:rsid w:val="00A65B5E"/>
    <w:rsid w:val="00A712BD"/>
    <w:rsid w:val="00A72B91"/>
    <w:rsid w:val="00A72D75"/>
    <w:rsid w:val="00A73E30"/>
    <w:rsid w:val="00A74B3B"/>
    <w:rsid w:val="00A77F72"/>
    <w:rsid w:val="00A816D5"/>
    <w:rsid w:val="00A82EE0"/>
    <w:rsid w:val="00A83ABD"/>
    <w:rsid w:val="00A84696"/>
    <w:rsid w:val="00A86043"/>
    <w:rsid w:val="00A9032A"/>
    <w:rsid w:val="00A90369"/>
    <w:rsid w:val="00A9106F"/>
    <w:rsid w:val="00A9117F"/>
    <w:rsid w:val="00A943C5"/>
    <w:rsid w:val="00A974B4"/>
    <w:rsid w:val="00AA03E6"/>
    <w:rsid w:val="00AA1DBB"/>
    <w:rsid w:val="00AA4A11"/>
    <w:rsid w:val="00AA4B6E"/>
    <w:rsid w:val="00AA5110"/>
    <w:rsid w:val="00AA71BB"/>
    <w:rsid w:val="00AB054B"/>
    <w:rsid w:val="00AB48C2"/>
    <w:rsid w:val="00AC0178"/>
    <w:rsid w:val="00AC1A03"/>
    <w:rsid w:val="00AC2F66"/>
    <w:rsid w:val="00AC3621"/>
    <w:rsid w:val="00AC3B59"/>
    <w:rsid w:val="00AC50BB"/>
    <w:rsid w:val="00AC5CB2"/>
    <w:rsid w:val="00AD0CBC"/>
    <w:rsid w:val="00AD1613"/>
    <w:rsid w:val="00AD5B2A"/>
    <w:rsid w:val="00AD5D3F"/>
    <w:rsid w:val="00AE22A2"/>
    <w:rsid w:val="00AE3717"/>
    <w:rsid w:val="00AE402F"/>
    <w:rsid w:val="00AE6543"/>
    <w:rsid w:val="00AE67D2"/>
    <w:rsid w:val="00AF390F"/>
    <w:rsid w:val="00B003A9"/>
    <w:rsid w:val="00B00738"/>
    <w:rsid w:val="00B0108F"/>
    <w:rsid w:val="00B01D2B"/>
    <w:rsid w:val="00B02376"/>
    <w:rsid w:val="00B04456"/>
    <w:rsid w:val="00B05C46"/>
    <w:rsid w:val="00B1063B"/>
    <w:rsid w:val="00B155AB"/>
    <w:rsid w:val="00B159ED"/>
    <w:rsid w:val="00B17BAF"/>
    <w:rsid w:val="00B17D5A"/>
    <w:rsid w:val="00B20DFB"/>
    <w:rsid w:val="00B21465"/>
    <w:rsid w:val="00B23B0F"/>
    <w:rsid w:val="00B24A59"/>
    <w:rsid w:val="00B25A96"/>
    <w:rsid w:val="00B25E61"/>
    <w:rsid w:val="00B27409"/>
    <w:rsid w:val="00B30F02"/>
    <w:rsid w:val="00B34DE1"/>
    <w:rsid w:val="00B4156A"/>
    <w:rsid w:val="00B421C0"/>
    <w:rsid w:val="00B425D1"/>
    <w:rsid w:val="00B45E80"/>
    <w:rsid w:val="00B4736D"/>
    <w:rsid w:val="00B47AC6"/>
    <w:rsid w:val="00B47EE6"/>
    <w:rsid w:val="00B5067A"/>
    <w:rsid w:val="00B512A7"/>
    <w:rsid w:val="00B54860"/>
    <w:rsid w:val="00B54CD8"/>
    <w:rsid w:val="00B5595E"/>
    <w:rsid w:val="00B56995"/>
    <w:rsid w:val="00B6057F"/>
    <w:rsid w:val="00B626BB"/>
    <w:rsid w:val="00B64CEE"/>
    <w:rsid w:val="00B65520"/>
    <w:rsid w:val="00B677A6"/>
    <w:rsid w:val="00B703B9"/>
    <w:rsid w:val="00B7055B"/>
    <w:rsid w:val="00B7317B"/>
    <w:rsid w:val="00B73BB7"/>
    <w:rsid w:val="00B77F44"/>
    <w:rsid w:val="00B814EA"/>
    <w:rsid w:val="00B821D4"/>
    <w:rsid w:val="00B83890"/>
    <w:rsid w:val="00B83EE9"/>
    <w:rsid w:val="00B86B8B"/>
    <w:rsid w:val="00B8729E"/>
    <w:rsid w:val="00B8757E"/>
    <w:rsid w:val="00B93C6C"/>
    <w:rsid w:val="00B94301"/>
    <w:rsid w:val="00B94A22"/>
    <w:rsid w:val="00B968C5"/>
    <w:rsid w:val="00BA03EE"/>
    <w:rsid w:val="00BA10A2"/>
    <w:rsid w:val="00BA171E"/>
    <w:rsid w:val="00BA1745"/>
    <w:rsid w:val="00BA264F"/>
    <w:rsid w:val="00BB084E"/>
    <w:rsid w:val="00BB5D4F"/>
    <w:rsid w:val="00BB6C56"/>
    <w:rsid w:val="00BC2016"/>
    <w:rsid w:val="00BC68E3"/>
    <w:rsid w:val="00BC74FD"/>
    <w:rsid w:val="00BD07F9"/>
    <w:rsid w:val="00BD0D97"/>
    <w:rsid w:val="00BD1656"/>
    <w:rsid w:val="00BD375C"/>
    <w:rsid w:val="00BD440E"/>
    <w:rsid w:val="00BD4620"/>
    <w:rsid w:val="00BD533A"/>
    <w:rsid w:val="00BD538F"/>
    <w:rsid w:val="00BD6F70"/>
    <w:rsid w:val="00BE0AFA"/>
    <w:rsid w:val="00BE15B7"/>
    <w:rsid w:val="00BE3F45"/>
    <w:rsid w:val="00BE4150"/>
    <w:rsid w:val="00BE4CCC"/>
    <w:rsid w:val="00BF0E9C"/>
    <w:rsid w:val="00BF1300"/>
    <w:rsid w:val="00BF1631"/>
    <w:rsid w:val="00BF35F8"/>
    <w:rsid w:val="00BF44AE"/>
    <w:rsid w:val="00BF4FD9"/>
    <w:rsid w:val="00BF757B"/>
    <w:rsid w:val="00BF77EE"/>
    <w:rsid w:val="00C019B9"/>
    <w:rsid w:val="00C020B0"/>
    <w:rsid w:val="00C05FAE"/>
    <w:rsid w:val="00C1044D"/>
    <w:rsid w:val="00C10AB3"/>
    <w:rsid w:val="00C113A0"/>
    <w:rsid w:val="00C1342E"/>
    <w:rsid w:val="00C150E7"/>
    <w:rsid w:val="00C17CAE"/>
    <w:rsid w:val="00C20429"/>
    <w:rsid w:val="00C21C7F"/>
    <w:rsid w:val="00C21E89"/>
    <w:rsid w:val="00C25A09"/>
    <w:rsid w:val="00C27478"/>
    <w:rsid w:val="00C30B01"/>
    <w:rsid w:val="00C319D3"/>
    <w:rsid w:val="00C31CDB"/>
    <w:rsid w:val="00C323CF"/>
    <w:rsid w:val="00C34269"/>
    <w:rsid w:val="00C347F7"/>
    <w:rsid w:val="00C34BE6"/>
    <w:rsid w:val="00C353BB"/>
    <w:rsid w:val="00C35816"/>
    <w:rsid w:val="00C37CB0"/>
    <w:rsid w:val="00C40FE5"/>
    <w:rsid w:val="00C421E8"/>
    <w:rsid w:val="00C4252B"/>
    <w:rsid w:val="00C57863"/>
    <w:rsid w:val="00C60EFF"/>
    <w:rsid w:val="00C636A4"/>
    <w:rsid w:val="00C65514"/>
    <w:rsid w:val="00C67E21"/>
    <w:rsid w:val="00C70145"/>
    <w:rsid w:val="00C70771"/>
    <w:rsid w:val="00C71B0B"/>
    <w:rsid w:val="00C71FE0"/>
    <w:rsid w:val="00C735C1"/>
    <w:rsid w:val="00C8763C"/>
    <w:rsid w:val="00C908EE"/>
    <w:rsid w:val="00C933B3"/>
    <w:rsid w:val="00C94D53"/>
    <w:rsid w:val="00C96203"/>
    <w:rsid w:val="00C964A8"/>
    <w:rsid w:val="00CA32FF"/>
    <w:rsid w:val="00CA79EB"/>
    <w:rsid w:val="00CB1AF4"/>
    <w:rsid w:val="00CB28FF"/>
    <w:rsid w:val="00CB402F"/>
    <w:rsid w:val="00CB7139"/>
    <w:rsid w:val="00CB772C"/>
    <w:rsid w:val="00CB7EB1"/>
    <w:rsid w:val="00CB7FBF"/>
    <w:rsid w:val="00CC03B3"/>
    <w:rsid w:val="00CC03EE"/>
    <w:rsid w:val="00CC05BC"/>
    <w:rsid w:val="00CC691E"/>
    <w:rsid w:val="00CC71C2"/>
    <w:rsid w:val="00CD20D3"/>
    <w:rsid w:val="00CD57FF"/>
    <w:rsid w:val="00CD5A1D"/>
    <w:rsid w:val="00CD5AD0"/>
    <w:rsid w:val="00CD6838"/>
    <w:rsid w:val="00CD6B38"/>
    <w:rsid w:val="00CD70D4"/>
    <w:rsid w:val="00CD762A"/>
    <w:rsid w:val="00CE02C1"/>
    <w:rsid w:val="00CE6FB1"/>
    <w:rsid w:val="00CE7749"/>
    <w:rsid w:val="00CF61EA"/>
    <w:rsid w:val="00CF6A3C"/>
    <w:rsid w:val="00D03D33"/>
    <w:rsid w:val="00D07649"/>
    <w:rsid w:val="00D10371"/>
    <w:rsid w:val="00D1412A"/>
    <w:rsid w:val="00D14D07"/>
    <w:rsid w:val="00D21004"/>
    <w:rsid w:val="00D26412"/>
    <w:rsid w:val="00D26511"/>
    <w:rsid w:val="00D279CC"/>
    <w:rsid w:val="00D35487"/>
    <w:rsid w:val="00D3577D"/>
    <w:rsid w:val="00D35C8F"/>
    <w:rsid w:val="00D3635A"/>
    <w:rsid w:val="00D3791D"/>
    <w:rsid w:val="00D40866"/>
    <w:rsid w:val="00D40A05"/>
    <w:rsid w:val="00D44846"/>
    <w:rsid w:val="00D45883"/>
    <w:rsid w:val="00D50BDA"/>
    <w:rsid w:val="00D512D4"/>
    <w:rsid w:val="00D51449"/>
    <w:rsid w:val="00D52B30"/>
    <w:rsid w:val="00D54FCB"/>
    <w:rsid w:val="00D55FFA"/>
    <w:rsid w:val="00D56854"/>
    <w:rsid w:val="00D578A1"/>
    <w:rsid w:val="00D61A2B"/>
    <w:rsid w:val="00D61E81"/>
    <w:rsid w:val="00D61EB2"/>
    <w:rsid w:val="00D63EE8"/>
    <w:rsid w:val="00D64156"/>
    <w:rsid w:val="00D66C93"/>
    <w:rsid w:val="00D67CBC"/>
    <w:rsid w:val="00D7014B"/>
    <w:rsid w:val="00D707ED"/>
    <w:rsid w:val="00D7223B"/>
    <w:rsid w:val="00D72DB2"/>
    <w:rsid w:val="00D81996"/>
    <w:rsid w:val="00D81FC6"/>
    <w:rsid w:val="00D82582"/>
    <w:rsid w:val="00D82665"/>
    <w:rsid w:val="00D82849"/>
    <w:rsid w:val="00D8339D"/>
    <w:rsid w:val="00D86AAB"/>
    <w:rsid w:val="00D91ED9"/>
    <w:rsid w:val="00D945C4"/>
    <w:rsid w:val="00D956BF"/>
    <w:rsid w:val="00D9696A"/>
    <w:rsid w:val="00DA1C7C"/>
    <w:rsid w:val="00DA32B6"/>
    <w:rsid w:val="00DA3AF3"/>
    <w:rsid w:val="00DA5811"/>
    <w:rsid w:val="00DA6098"/>
    <w:rsid w:val="00DA7E6E"/>
    <w:rsid w:val="00DB0FF0"/>
    <w:rsid w:val="00DB2474"/>
    <w:rsid w:val="00DB3B26"/>
    <w:rsid w:val="00DB55E1"/>
    <w:rsid w:val="00DB5CD0"/>
    <w:rsid w:val="00DB7896"/>
    <w:rsid w:val="00DC08B3"/>
    <w:rsid w:val="00DC33E1"/>
    <w:rsid w:val="00DC62ED"/>
    <w:rsid w:val="00DC6C3E"/>
    <w:rsid w:val="00DC7C0D"/>
    <w:rsid w:val="00DD0FA0"/>
    <w:rsid w:val="00DD1731"/>
    <w:rsid w:val="00DD219D"/>
    <w:rsid w:val="00DD306A"/>
    <w:rsid w:val="00DE080B"/>
    <w:rsid w:val="00DE3E64"/>
    <w:rsid w:val="00DF12E6"/>
    <w:rsid w:val="00DF14AB"/>
    <w:rsid w:val="00DF16C8"/>
    <w:rsid w:val="00DF3BBD"/>
    <w:rsid w:val="00DF4A25"/>
    <w:rsid w:val="00DF4CE9"/>
    <w:rsid w:val="00DF531E"/>
    <w:rsid w:val="00E01605"/>
    <w:rsid w:val="00E025B5"/>
    <w:rsid w:val="00E0336C"/>
    <w:rsid w:val="00E10FC1"/>
    <w:rsid w:val="00E13C19"/>
    <w:rsid w:val="00E14546"/>
    <w:rsid w:val="00E149DA"/>
    <w:rsid w:val="00E158DA"/>
    <w:rsid w:val="00E224D5"/>
    <w:rsid w:val="00E24049"/>
    <w:rsid w:val="00E241CC"/>
    <w:rsid w:val="00E26370"/>
    <w:rsid w:val="00E3017B"/>
    <w:rsid w:val="00E301E0"/>
    <w:rsid w:val="00E330BD"/>
    <w:rsid w:val="00E41532"/>
    <w:rsid w:val="00E41770"/>
    <w:rsid w:val="00E41CB4"/>
    <w:rsid w:val="00E41EC3"/>
    <w:rsid w:val="00E4386A"/>
    <w:rsid w:val="00E43878"/>
    <w:rsid w:val="00E52B4D"/>
    <w:rsid w:val="00E52D60"/>
    <w:rsid w:val="00E53BCF"/>
    <w:rsid w:val="00E540AB"/>
    <w:rsid w:val="00E55810"/>
    <w:rsid w:val="00E57357"/>
    <w:rsid w:val="00E5745D"/>
    <w:rsid w:val="00E62D5A"/>
    <w:rsid w:val="00E633C2"/>
    <w:rsid w:val="00E63BA1"/>
    <w:rsid w:val="00E71819"/>
    <w:rsid w:val="00E7334D"/>
    <w:rsid w:val="00E74AAB"/>
    <w:rsid w:val="00E756C0"/>
    <w:rsid w:val="00E778A4"/>
    <w:rsid w:val="00E77D0E"/>
    <w:rsid w:val="00E82123"/>
    <w:rsid w:val="00E8359F"/>
    <w:rsid w:val="00E84B76"/>
    <w:rsid w:val="00E85F00"/>
    <w:rsid w:val="00EA0CB4"/>
    <w:rsid w:val="00EA164B"/>
    <w:rsid w:val="00EA1CFD"/>
    <w:rsid w:val="00EA2A83"/>
    <w:rsid w:val="00EA3A25"/>
    <w:rsid w:val="00EA43F9"/>
    <w:rsid w:val="00EA590B"/>
    <w:rsid w:val="00EA60F6"/>
    <w:rsid w:val="00EA6BF8"/>
    <w:rsid w:val="00EB09FB"/>
    <w:rsid w:val="00EB4196"/>
    <w:rsid w:val="00EC548E"/>
    <w:rsid w:val="00EC5576"/>
    <w:rsid w:val="00EC6066"/>
    <w:rsid w:val="00EC770B"/>
    <w:rsid w:val="00ED3352"/>
    <w:rsid w:val="00ED3465"/>
    <w:rsid w:val="00EE1CCA"/>
    <w:rsid w:val="00EE2CA4"/>
    <w:rsid w:val="00EE3841"/>
    <w:rsid w:val="00EE4E58"/>
    <w:rsid w:val="00EE7234"/>
    <w:rsid w:val="00EF13CE"/>
    <w:rsid w:val="00EF247D"/>
    <w:rsid w:val="00EF63F5"/>
    <w:rsid w:val="00F00C29"/>
    <w:rsid w:val="00F03195"/>
    <w:rsid w:val="00F033C5"/>
    <w:rsid w:val="00F0718E"/>
    <w:rsid w:val="00F11701"/>
    <w:rsid w:val="00F11F5D"/>
    <w:rsid w:val="00F1228E"/>
    <w:rsid w:val="00F12461"/>
    <w:rsid w:val="00F129BC"/>
    <w:rsid w:val="00F13070"/>
    <w:rsid w:val="00F13318"/>
    <w:rsid w:val="00F144D2"/>
    <w:rsid w:val="00F151EA"/>
    <w:rsid w:val="00F16F78"/>
    <w:rsid w:val="00F204E3"/>
    <w:rsid w:val="00F217F2"/>
    <w:rsid w:val="00F21868"/>
    <w:rsid w:val="00F23250"/>
    <w:rsid w:val="00F23E53"/>
    <w:rsid w:val="00F26940"/>
    <w:rsid w:val="00F33828"/>
    <w:rsid w:val="00F34812"/>
    <w:rsid w:val="00F372C4"/>
    <w:rsid w:val="00F44950"/>
    <w:rsid w:val="00F46324"/>
    <w:rsid w:val="00F5535F"/>
    <w:rsid w:val="00F56A33"/>
    <w:rsid w:val="00F56D06"/>
    <w:rsid w:val="00F57707"/>
    <w:rsid w:val="00F57733"/>
    <w:rsid w:val="00F6129E"/>
    <w:rsid w:val="00F61C6F"/>
    <w:rsid w:val="00F63EAF"/>
    <w:rsid w:val="00F64962"/>
    <w:rsid w:val="00F67D91"/>
    <w:rsid w:val="00F80D82"/>
    <w:rsid w:val="00F83E96"/>
    <w:rsid w:val="00F84E78"/>
    <w:rsid w:val="00F85E97"/>
    <w:rsid w:val="00F85FDF"/>
    <w:rsid w:val="00F86EE0"/>
    <w:rsid w:val="00F9028C"/>
    <w:rsid w:val="00F9101F"/>
    <w:rsid w:val="00F92818"/>
    <w:rsid w:val="00F93A00"/>
    <w:rsid w:val="00F94720"/>
    <w:rsid w:val="00F950C8"/>
    <w:rsid w:val="00F95138"/>
    <w:rsid w:val="00F9520C"/>
    <w:rsid w:val="00FA0CD6"/>
    <w:rsid w:val="00FA0E91"/>
    <w:rsid w:val="00FA2FEB"/>
    <w:rsid w:val="00FA32BE"/>
    <w:rsid w:val="00FA3C50"/>
    <w:rsid w:val="00FA41B0"/>
    <w:rsid w:val="00FA5181"/>
    <w:rsid w:val="00FA67B7"/>
    <w:rsid w:val="00FA740E"/>
    <w:rsid w:val="00FA7764"/>
    <w:rsid w:val="00FB0D2D"/>
    <w:rsid w:val="00FB2793"/>
    <w:rsid w:val="00FB2D74"/>
    <w:rsid w:val="00FB53FA"/>
    <w:rsid w:val="00FB7C9A"/>
    <w:rsid w:val="00FC0538"/>
    <w:rsid w:val="00FC19B5"/>
    <w:rsid w:val="00FC3B56"/>
    <w:rsid w:val="00FC64CC"/>
    <w:rsid w:val="00FC745B"/>
    <w:rsid w:val="00FC7F75"/>
    <w:rsid w:val="00FD32A0"/>
    <w:rsid w:val="00FD4C69"/>
    <w:rsid w:val="00FD5344"/>
    <w:rsid w:val="00FE262A"/>
    <w:rsid w:val="00FE3DA4"/>
    <w:rsid w:val="00FE517F"/>
    <w:rsid w:val="00FE74C4"/>
    <w:rsid w:val="00FE7586"/>
    <w:rsid w:val="00FF3E66"/>
    <w:rsid w:val="021F1A75"/>
    <w:rsid w:val="05DD25CF"/>
    <w:rsid w:val="0F2E1674"/>
    <w:rsid w:val="197E45F6"/>
    <w:rsid w:val="1D880554"/>
    <w:rsid w:val="24FA1E77"/>
    <w:rsid w:val="281D0963"/>
    <w:rsid w:val="28F41B3B"/>
    <w:rsid w:val="2C710061"/>
    <w:rsid w:val="32A46445"/>
    <w:rsid w:val="39C169DC"/>
    <w:rsid w:val="3A7E01CA"/>
    <w:rsid w:val="3FFA0EC9"/>
    <w:rsid w:val="41773064"/>
    <w:rsid w:val="47E66EFD"/>
    <w:rsid w:val="488C7DEC"/>
    <w:rsid w:val="54B14A42"/>
    <w:rsid w:val="5FEF0250"/>
    <w:rsid w:val="634B2BE3"/>
    <w:rsid w:val="6F2E6DEC"/>
    <w:rsid w:val="76ED2BC9"/>
    <w:rsid w:val="7778753E"/>
    <w:rsid w:val="79B34E50"/>
    <w:rsid w:val="79E35584"/>
    <w:rsid w:val="7F860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line="578" w:lineRule="auto"/>
      <w:outlineLvl w:val="0"/>
    </w:pPr>
    <w:rPr>
      <w:b/>
      <w:bCs/>
      <w:kern w:val="44"/>
      <w:sz w:val="44"/>
      <w:szCs w:val="44"/>
    </w:rPr>
  </w:style>
  <w:style w:type="paragraph" w:styleId="3">
    <w:name w:val="heading 2"/>
    <w:basedOn w:val="1"/>
    <w:next w:val="1"/>
    <w:link w:val="55"/>
    <w:qFormat/>
    <w:uiPriority w:val="0"/>
    <w:pPr>
      <w:keepNext/>
      <w:keepLines/>
      <w:spacing w:before="260" w:line="416" w:lineRule="auto"/>
      <w:outlineLvl w:val="1"/>
    </w:pPr>
    <w:rPr>
      <w:rFonts w:eastAsia="黑体"/>
      <w:b/>
      <w:bCs/>
      <w:kern w:val="0"/>
      <w:sz w:val="32"/>
      <w:szCs w:val="32"/>
    </w:rPr>
  </w:style>
  <w:style w:type="paragraph" w:styleId="4">
    <w:name w:val="heading 3"/>
    <w:basedOn w:val="1"/>
    <w:next w:val="1"/>
    <w:link w:val="56"/>
    <w:qFormat/>
    <w:uiPriority w:val="0"/>
    <w:pPr>
      <w:keepNext/>
      <w:keepLines/>
      <w:spacing w:before="260" w:line="416" w:lineRule="auto"/>
      <w:outlineLvl w:val="2"/>
    </w:pPr>
    <w:rPr>
      <w:b/>
      <w:bCs/>
      <w:kern w:val="0"/>
      <w:sz w:val="32"/>
      <w:szCs w:val="32"/>
    </w:rPr>
  </w:style>
  <w:style w:type="paragraph" w:styleId="5">
    <w:name w:val="heading 4"/>
    <w:basedOn w:val="1"/>
    <w:next w:val="1"/>
    <w:link w:val="57"/>
    <w:qFormat/>
    <w:uiPriority w:val="0"/>
    <w:pPr>
      <w:keepNext/>
      <w:keepLines/>
      <w:spacing w:before="280" w:line="376" w:lineRule="auto"/>
      <w:outlineLvl w:val="3"/>
    </w:pPr>
    <w:rPr>
      <w:rFonts w:eastAsia="黑体"/>
      <w:b/>
      <w:bCs/>
      <w:kern w:val="0"/>
      <w:sz w:val="28"/>
      <w:szCs w:val="28"/>
    </w:rPr>
  </w:style>
  <w:style w:type="paragraph" w:styleId="6">
    <w:name w:val="heading 5"/>
    <w:basedOn w:val="1"/>
    <w:next w:val="1"/>
    <w:link w:val="58"/>
    <w:qFormat/>
    <w:uiPriority w:val="0"/>
    <w:pPr>
      <w:keepNext/>
      <w:keepLines/>
      <w:spacing w:before="280" w:line="376" w:lineRule="auto"/>
      <w:outlineLvl w:val="4"/>
    </w:pPr>
    <w:rPr>
      <w:b/>
      <w:bCs/>
      <w:kern w:val="0"/>
      <w:sz w:val="28"/>
      <w:szCs w:val="28"/>
    </w:rPr>
  </w:style>
  <w:style w:type="paragraph" w:styleId="7">
    <w:name w:val="heading 6"/>
    <w:basedOn w:val="1"/>
    <w:next w:val="8"/>
    <w:link w:val="181"/>
    <w:qFormat/>
    <w:uiPriority w:val="0"/>
    <w:pPr>
      <w:keepNext/>
      <w:keepLines/>
      <w:spacing w:before="240" w:afterLines="0" w:line="320" w:lineRule="auto"/>
      <w:outlineLvl w:val="5"/>
    </w:pPr>
    <w:rPr>
      <w:rFonts w:eastAsia="黑体"/>
      <w:b/>
      <w:sz w:val="24"/>
      <w:szCs w:val="20"/>
    </w:rPr>
  </w:style>
  <w:style w:type="paragraph" w:styleId="9">
    <w:name w:val="heading 7"/>
    <w:basedOn w:val="1"/>
    <w:next w:val="8"/>
    <w:link w:val="59"/>
    <w:qFormat/>
    <w:uiPriority w:val="0"/>
    <w:pPr>
      <w:keepNext/>
      <w:keepLines/>
      <w:adjustRightInd w:val="0"/>
      <w:snapToGrid w:val="0"/>
      <w:spacing w:before="240" w:afterLines="0" w:line="320" w:lineRule="auto"/>
      <w:ind w:left="624"/>
      <w:outlineLvl w:val="6"/>
    </w:pPr>
    <w:rPr>
      <w:rFonts w:ascii="Times New Roman" w:hAnsi="Times New Roman"/>
      <w:b/>
      <w:kern w:val="0"/>
      <w:sz w:val="20"/>
      <w:szCs w:val="20"/>
    </w:rPr>
  </w:style>
  <w:style w:type="paragraph" w:styleId="10">
    <w:name w:val="heading 8"/>
    <w:basedOn w:val="1"/>
    <w:next w:val="8"/>
    <w:link w:val="60"/>
    <w:qFormat/>
    <w:uiPriority w:val="0"/>
    <w:pPr>
      <w:keepNext/>
      <w:keepLines/>
      <w:adjustRightInd w:val="0"/>
      <w:snapToGrid w:val="0"/>
      <w:spacing w:before="240" w:afterLines="0" w:line="320" w:lineRule="auto"/>
      <w:ind w:left="624"/>
      <w:outlineLvl w:val="7"/>
    </w:pPr>
    <w:rPr>
      <w:rFonts w:eastAsia="黑体"/>
      <w:kern w:val="0"/>
      <w:sz w:val="20"/>
      <w:szCs w:val="20"/>
    </w:rPr>
  </w:style>
  <w:style w:type="paragraph" w:styleId="11">
    <w:name w:val="heading 9"/>
    <w:basedOn w:val="1"/>
    <w:next w:val="8"/>
    <w:link w:val="61"/>
    <w:qFormat/>
    <w:uiPriority w:val="0"/>
    <w:pPr>
      <w:keepNext/>
      <w:keepLines/>
      <w:adjustRightInd w:val="0"/>
      <w:snapToGrid w:val="0"/>
      <w:spacing w:before="240" w:afterLines="0" w:line="320" w:lineRule="auto"/>
      <w:ind w:left="624"/>
      <w:outlineLvl w:val="8"/>
    </w:pPr>
    <w:rPr>
      <w:rFonts w:eastAsia="黑体"/>
      <w:kern w:val="0"/>
      <w:sz w:val="20"/>
      <w:szCs w:val="20"/>
    </w:rPr>
  </w:style>
  <w:style w:type="character" w:default="1" w:styleId="48">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88"/>
    <w:qFormat/>
    <w:uiPriority w:val="0"/>
    <w:pPr>
      <w:ind w:firstLine="420" w:firstLineChars="200"/>
    </w:pPr>
    <w:rPr>
      <w:rFonts w:eastAsiaTheme="minorEastAsia" w:cstheme="minorBidi"/>
      <w:sz w:val="24"/>
      <w:szCs w:val="22"/>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before="152" w:afterLines="0" w:line="240" w:lineRule="auto"/>
    </w:pPr>
    <w:rPr>
      <w:rFonts w:eastAsia="黑体"/>
      <w:sz w:val="20"/>
      <w:szCs w:val="20"/>
    </w:rPr>
  </w:style>
  <w:style w:type="paragraph" w:styleId="14">
    <w:name w:val="List Bullet"/>
    <w:basedOn w:val="1"/>
    <w:qFormat/>
    <w:uiPriority w:val="0"/>
    <w:pPr>
      <w:numPr>
        <w:ilvl w:val="0"/>
        <w:numId w:val="1"/>
      </w:numPr>
      <w:spacing w:afterLines="0" w:line="240" w:lineRule="auto"/>
    </w:pPr>
    <w:rPr>
      <w:rFonts w:ascii="Times New Roman" w:hAnsi="Times New Roman"/>
      <w:szCs w:val="20"/>
    </w:rPr>
  </w:style>
  <w:style w:type="paragraph" w:styleId="15">
    <w:name w:val="Document Map"/>
    <w:basedOn w:val="1"/>
    <w:link w:val="70"/>
    <w:qFormat/>
    <w:uiPriority w:val="0"/>
    <w:pPr>
      <w:shd w:val="clear" w:color="auto" w:fill="000080"/>
    </w:pPr>
    <w:rPr>
      <w:rFonts w:eastAsiaTheme="minorEastAsia" w:cstheme="minorBidi"/>
      <w:sz w:val="24"/>
      <w:szCs w:val="22"/>
    </w:rPr>
  </w:style>
  <w:style w:type="paragraph" w:styleId="16">
    <w:name w:val="annotation text"/>
    <w:basedOn w:val="1"/>
    <w:link w:val="94"/>
    <w:qFormat/>
    <w:uiPriority w:val="99"/>
    <w:pPr>
      <w:spacing w:afterLines="0" w:line="240" w:lineRule="auto"/>
      <w:jc w:val="left"/>
    </w:pPr>
    <w:rPr>
      <w:rFonts w:ascii="Times New Roman" w:hAnsi="Times New Roman" w:eastAsiaTheme="minorEastAsia" w:cstheme="minorBidi"/>
      <w:sz w:val="24"/>
      <w:szCs w:val="22"/>
    </w:rPr>
  </w:style>
  <w:style w:type="paragraph" w:styleId="17">
    <w:name w:val="Body Text 3"/>
    <w:basedOn w:val="1"/>
    <w:link w:val="75"/>
    <w:qFormat/>
    <w:uiPriority w:val="0"/>
    <w:pPr>
      <w:spacing w:afterLines="0" w:line="240" w:lineRule="auto"/>
    </w:pPr>
    <w:rPr>
      <w:rFonts w:ascii="Times New Roman" w:hAnsi="Times New Roman" w:eastAsiaTheme="minorEastAsia" w:cstheme="minorBidi"/>
      <w:szCs w:val="22"/>
    </w:rPr>
  </w:style>
  <w:style w:type="paragraph" w:styleId="18">
    <w:name w:val="Body Text"/>
    <w:basedOn w:val="1"/>
    <w:link w:val="93"/>
    <w:qFormat/>
    <w:uiPriority w:val="0"/>
    <w:pPr>
      <w:tabs>
        <w:tab w:val="left" w:pos="4760"/>
      </w:tabs>
      <w:spacing w:afterLines="0"/>
      <w:jc w:val="left"/>
    </w:pPr>
    <w:rPr>
      <w:rFonts w:eastAsiaTheme="minorEastAsia" w:cstheme="minorBidi"/>
      <w:sz w:val="24"/>
      <w:szCs w:val="22"/>
    </w:rPr>
  </w:style>
  <w:style w:type="paragraph" w:styleId="19">
    <w:name w:val="Body Text Indent"/>
    <w:basedOn w:val="1"/>
    <w:link w:val="85"/>
    <w:qFormat/>
    <w:uiPriority w:val="0"/>
    <w:pPr>
      <w:spacing w:afterLines="0"/>
      <w:ind w:left="420" w:leftChars="200"/>
    </w:pPr>
    <w:rPr>
      <w:rFonts w:eastAsiaTheme="minorEastAsia" w:cstheme="minorBidi"/>
      <w:sz w:val="24"/>
      <w:szCs w:val="22"/>
    </w:rPr>
  </w:style>
  <w:style w:type="paragraph" w:styleId="20">
    <w:name w:val="Block Text"/>
    <w:basedOn w:val="1"/>
    <w:qFormat/>
    <w:uiPriority w:val="0"/>
    <w:pPr>
      <w:autoSpaceDE w:val="0"/>
      <w:autoSpaceDN w:val="0"/>
      <w:adjustRightInd w:val="0"/>
      <w:spacing w:afterLines="0" w:line="440" w:lineRule="exact"/>
      <w:ind w:left="8" w:right="6" w:firstLine="560"/>
    </w:pPr>
    <w:rPr>
      <w:rFonts w:ascii="宋体" w:hAnsi="宋体"/>
      <w:kern w:val="0"/>
      <w:sz w:val="24"/>
      <w:szCs w:val="28"/>
    </w:rPr>
  </w:style>
  <w:style w:type="paragraph" w:styleId="21">
    <w:name w:val="toc 5"/>
    <w:basedOn w:val="1"/>
    <w:next w:val="1"/>
    <w:qFormat/>
    <w:uiPriority w:val="0"/>
    <w:pPr>
      <w:ind w:left="800" w:leftChars="800"/>
    </w:pPr>
  </w:style>
  <w:style w:type="paragraph" w:styleId="22">
    <w:name w:val="toc 3"/>
    <w:basedOn w:val="1"/>
    <w:next w:val="1"/>
    <w:qFormat/>
    <w:uiPriority w:val="0"/>
    <w:pPr>
      <w:ind w:left="400" w:leftChars="400"/>
    </w:pPr>
  </w:style>
  <w:style w:type="paragraph" w:styleId="23">
    <w:name w:val="Plain Text"/>
    <w:basedOn w:val="1"/>
    <w:link w:val="101"/>
    <w:qFormat/>
    <w:uiPriority w:val="0"/>
    <w:pPr>
      <w:spacing w:afterLines="0" w:line="240" w:lineRule="auto"/>
    </w:pPr>
    <w:rPr>
      <w:rFonts w:ascii="宋体" w:hAnsi="Courier New" w:eastAsiaTheme="minorEastAsia" w:cstheme="minorBidi"/>
      <w:szCs w:val="22"/>
    </w:rPr>
  </w:style>
  <w:style w:type="paragraph" w:styleId="24">
    <w:name w:val="toc 8"/>
    <w:basedOn w:val="1"/>
    <w:next w:val="1"/>
    <w:qFormat/>
    <w:uiPriority w:val="0"/>
    <w:pPr>
      <w:ind w:left="2940" w:leftChars="1400"/>
    </w:pPr>
  </w:style>
  <w:style w:type="paragraph" w:styleId="25">
    <w:name w:val="Date"/>
    <w:basedOn w:val="1"/>
    <w:next w:val="1"/>
    <w:link w:val="74"/>
    <w:qFormat/>
    <w:uiPriority w:val="0"/>
    <w:pPr>
      <w:autoSpaceDE w:val="0"/>
      <w:autoSpaceDN w:val="0"/>
      <w:adjustRightInd w:val="0"/>
      <w:spacing w:afterLines="0" w:line="240" w:lineRule="auto"/>
      <w:textAlignment w:val="baseline"/>
    </w:pPr>
    <w:rPr>
      <w:rFonts w:ascii="宋体" w:hAnsi="Times New Roman" w:eastAsiaTheme="minorEastAsia" w:cstheme="minorBidi"/>
      <w:szCs w:val="22"/>
    </w:rPr>
  </w:style>
  <w:style w:type="paragraph" w:styleId="26">
    <w:name w:val="Body Text Indent 2"/>
    <w:basedOn w:val="1"/>
    <w:link w:val="86"/>
    <w:qFormat/>
    <w:uiPriority w:val="0"/>
    <w:pPr>
      <w:spacing w:afterLines="0" w:line="360" w:lineRule="auto"/>
      <w:ind w:left="840"/>
    </w:pPr>
    <w:rPr>
      <w:rFonts w:ascii="Times New Roman" w:hAnsi="Times New Roman" w:eastAsiaTheme="minorEastAsia" w:cstheme="minorBidi"/>
      <w:sz w:val="24"/>
      <w:szCs w:val="22"/>
    </w:rPr>
  </w:style>
  <w:style w:type="paragraph" w:styleId="27">
    <w:name w:val="Balloon Text"/>
    <w:basedOn w:val="1"/>
    <w:link w:val="104"/>
    <w:qFormat/>
    <w:uiPriority w:val="99"/>
    <w:pPr>
      <w:spacing w:afterLines="0" w:line="240" w:lineRule="auto"/>
    </w:pPr>
    <w:rPr>
      <w:rFonts w:eastAsiaTheme="minorEastAsia" w:cstheme="minorBidi"/>
      <w:szCs w:val="22"/>
    </w:rPr>
  </w:style>
  <w:style w:type="paragraph" w:styleId="28">
    <w:name w:val="footer"/>
    <w:basedOn w:val="1"/>
    <w:link w:val="73"/>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29">
    <w:name w:val="header"/>
    <w:basedOn w:val="1"/>
    <w:link w:val="6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30">
    <w:name w:val="toc 1"/>
    <w:basedOn w:val="1"/>
    <w:next w:val="1"/>
    <w:qFormat/>
    <w:uiPriority w:val="0"/>
    <w:rPr>
      <w:rFonts w:eastAsia="黑体"/>
      <w:sz w:val="24"/>
    </w:rPr>
  </w:style>
  <w:style w:type="paragraph" w:styleId="31">
    <w:name w:val="toc 4"/>
    <w:basedOn w:val="1"/>
    <w:next w:val="1"/>
    <w:qFormat/>
    <w:uiPriority w:val="0"/>
    <w:pPr>
      <w:ind w:left="1260" w:leftChars="600"/>
    </w:pPr>
  </w:style>
  <w:style w:type="paragraph" w:styleId="32">
    <w:name w:val="List"/>
    <w:basedOn w:val="1"/>
    <w:qFormat/>
    <w:uiPriority w:val="0"/>
    <w:pPr>
      <w:spacing w:afterLines="0" w:line="300" w:lineRule="exact"/>
    </w:pPr>
    <w:rPr>
      <w:rFonts w:ascii="Times New Roman" w:hAnsi="Times New Roman" w:eastAsia="仿宋_GB2312"/>
      <w:szCs w:val="20"/>
    </w:r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spacing w:afterLines="0" w:line="360" w:lineRule="auto"/>
      <w:ind w:firstLine="482" w:firstLineChars="200"/>
    </w:pPr>
    <w:rPr>
      <w:rFonts w:ascii="宋体" w:hAnsi="Times New Roman" w:eastAsiaTheme="minorEastAsia" w:cstheme="minorBidi"/>
      <w:b/>
      <w:szCs w:val="22"/>
    </w:rPr>
  </w:style>
  <w:style w:type="paragraph" w:styleId="35">
    <w:name w:val="toc 2"/>
    <w:basedOn w:val="1"/>
    <w:next w:val="1"/>
    <w:qFormat/>
    <w:uiPriority w:val="0"/>
    <w:pPr>
      <w:ind w:left="200" w:leftChars="200"/>
    </w:pPr>
  </w:style>
  <w:style w:type="paragraph" w:styleId="36">
    <w:name w:val="toc 9"/>
    <w:basedOn w:val="1"/>
    <w:next w:val="1"/>
    <w:qFormat/>
    <w:uiPriority w:val="0"/>
    <w:pPr>
      <w:ind w:left="3360" w:leftChars="1600"/>
    </w:pPr>
  </w:style>
  <w:style w:type="paragraph" w:styleId="37">
    <w:name w:val="Body Text 2"/>
    <w:basedOn w:val="1"/>
    <w:link w:val="83"/>
    <w:qFormat/>
    <w:uiPriority w:val="0"/>
    <w:pPr>
      <w:spacing w:afterLines="0" w:line="480" w:lineRule="auto"/>
    </w:pPr>
    <w:rPr>
      <w:rFonts w:eastAsiaTheme="minorEastAsia" w:cstheme="minorBidi"/>
      <w:sz w:val="24"/>
      <w:szCs w:val="22"/>
    </w:rPr>
  </w:style>
  <w:style w:type="paragraph" w:styleId="38">
    <w:name w:val="HTML Preformatted"/>
    <w:basedOn w:val="1"/>
    <w:link w:val="6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line="240" w:lineRule="auto"/>
      <w:jc w:val="left"/>
    </w:pPr>
    <w:rPr>
      <w:rFonts w:ascii="Arial Unicode MS" w:hAnsi="Arial Unicode MS" w:eastAsia="Arial Unicode MS" w:cstheme="minorBidi"/>
      <w:color w:val="000000"/>
      <w:szCs w:val="22"/>
    </w:rPr>
  </w:style>
  <w:style w:type="paragraph" w:styleId="3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40">
    <w:name w:val="index 1"/>
    <w:basedOn w:val="1"/>
    <w:next w:val="1"/>
    <w:qFormat/>
    <w:uiPriority w:val="0"/>
    <w:pPr>
      <w:tabs>
        <w:tab w:val="left" w:pos="900"/>
      </w:tabs>
      <w:adjustRightInd w:val="0"/>
      <w:spacing w:afterLines="0" w:line="240" w:lineRule="auto"/>
    </w:pPr>
    <w:rPr>
      <w:rFonts w:ascii="宋体" w:hAnsi="宋体" w:cs="Arial"/>
      <w:bCs/>
      <w:color w:val="000000"/>
      <w:szCs w:val="21"/>
    </w:rPr>
  </w:style>
  <w:style w:type="paragraph" w:styleId="41">
    <w:name w:val="Title"/>
    <w:basedOn w:val="1"/>
    <w:link w:val="102"/>
    <w:qFormat/>
    <w:uiPriority w:val="0"/>
    <w:pPr>
      <w:spacing w:before="240" w:afterLines="0" w:line="240" w:lineRule="auto"/>
      <w:jc w:val="center"/>
      <w:outlineLvl w:val="0"/>
    </w:pPr>
    <w:rPr>
      <w:rFonts w:eastAsia="隶书" w:cstheme="minorBidi"/>
      <w:b/>
      <w:szCs w:val="22"/>
    </w:rPr>
  </w:style>
  <w:style w:type="paragraph" w:styleId="42">
    <w:name w:val="annotation subject"/>
    <w:basedOn w:val="16"/>
    <w:next w:val="16"/>
    <w:link w:val="177"/>
    <w:unhideWhenUsed/>
    <w:qFormat/>
    <w:uiPriority w:val="0"/>
    <w:pPr>
      <w:spacing w:afterLines="25" w:line="300" w:lineRule="auto"/>
    </w:pPr>
    <w:rPr>
      <w:rFonts w:ascii="Arial" w:hAnsi="Arial" w:eastAsia="宋体" w:cs="Times New Roman"/>
      <w:b/>
      <w:bCs/>
      <w:sz w:val="21"/>
      <w:szCs w:val="24"/>
    </w:rPr>
  </w:style>
  <w:style w:type="paragraph" w:styleId="43">
    <w:name w:val="Body Text First Indent"/>
    <w:basedOn w:val="18"/>
    <w:link w:val="226"/>
    <w:qFormat/>
    <w:uiPriority w:val="0"/>
    <w:pPr>
      <w:tabs>
        <w:tab w:val="clear" w:pos="4760"/>
      </w:tabs>
      <w:spacing w:after="120" w:line="240" w:lineRule="auto"/>
      <w:ind w:firstLine="420" w:firstLineChars="100"/>
      <w:jc w:val="both"/>
    </w:pPr>
    <w:rPr>
      <w:rFonts w:ascii="Times New Roman" w:hAnsi="Times New Roman" w:eastAsia="宋体" w:cs="Times New Roman"/>
      <w:b/>
      <w:bCs/>
      <w:sz w:val="21"/>
      <w:szCs w:val="24"/>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Simple 1"/>
    <w:basedOn w:val="44"/>
    <w:qFormat/>
    <w:uiPriority w:val="0"/>
    <w:pPr>
      <w:widowControl w:val="0"/>
      <w:jc w:val="both"/>
    </w:pPr>
    <w:rPr>
      <w:rFonts w:ascii="Times New Roman" w:hAnsi="Times New Roman" w:eastAsia="宋体" w:cs="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47">
    <w:name w:val="Table Grid 1"/>
    <w:basedOn w:val="44"/>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0"/>
    <w:rPr>
      <w:b/>
      <w:bCs/>
    </w:rPr>
  </w:style>
  <w:style w:type="character" w:styleId="50">
    <w:name w:val="page number"/>
    <w:qFormat/>
    <w:uiPriority w:val="0"/>
    <w:rPr>
      <w:rFonts w:cs="Times New Roman"/>
    </w:rPr>
  </w:style>
  <w:style w:type="character" w:styleId="51">
    <w:name w:val="FollowedHyperlink"/>
    <w:qFormat/>
    <w:uiPriority w:val="99"/>
    <w:rPr>
      <w:rFonts w:cs="Times New Roman"/>
      <w:color w:val="800080"/>
      <w:u w:val="single"/>
    </w:rPr>
  </w:style>
  <w:style w:type="character" w:styleId="52">
    <w:name w:val="Hyperlink"/>
    <w:qFormat/>
    <w:uiPriority w:val="99"/>
    <w:rPr>
      <w:rFonts w:cs="Times New Roman"/>
      <w:color w:val="0000FF"/>
      <w:u w:val="single"/>
    </w:rPr>
  </w:style>
  <w:style w:type="character" w:styleId="53">
    <w:name w:val="annotation reference"/>
    <w:qFormat/>
    <w:uiPriority w:val="99"/>
    <w:rPr>
      <w:rFonts w:cs="Times New Roman" w:asciiTheme="minorEastAsia" w:hAnsiTheme="minorEastAsia"/>
      <w:sz w:val="21"/>
    </w:rPr>
  </w:style>
  <w:style w:type="character" w:customStyle="1" w:styleId="54">
    <w:name w:val="标题 1 Char"/>
    <w:basedOn w:val="48"/>
    <w:link w:val="2"/>
    <w:qFormat/>
    <w:uiPriority w:val="0"/>
    <w:rPr>
      <w:rFonts w:ascii="Arial" w:hAnsi="Arial" w:eastAsia="宋体" w:cs="Times New Roman"/>
      <w:b/>
      <w:bCs/>
      <w:kern w:val="44"/>
      <w:sz w:val="44"/>
      <w:szCs w:val="44"/>
    </w:rPr>
  </w:style>
  <w:style w:type="character" w:customStyle="1" w:styleId="55">
    <w:name w:val="标题 2 Char"/>
    <w:basedOn w:val="48"/>
    <w:link w:val="3"/>
    <w:qFormat/>
    <w:uiPriority w:val="0"/>
    <w:rPr>
      <w:rFonts w:ascii="Arial" w:hAnsi="Arial" w:eastAsia="黑体" w:cs="Times New Roman"/>
      <w:b/>
      <w:bCs/>
      <w:kern w:val="0"/>
      <w:sz w:val="32"/>
      <w:szCs w:val="32"/>
    </w:rPr>
  </w:style>
  <w:style w:type="character" w:customStyle="1" w:styleId="56">
    <w:name w:val="标题 3 Char"/>
    <w:basedOn w:val="48"/>
    <w:link w:val="4"/>
    <w:qFormat/>
    <w:uiPriority w:val="0"/>
    <w:rPr>
      <w:rFonts w:ascii="Arial" w:hAnsi="Arial" w:eastAsia="宋体" w:cs="Times New Roman"/>
      <w:b/>
      <w:bCs/>
      <w:kern w:val="0"/>
      <w:sz w:val="32"/>
      <w:szCs w:val="32"/>
    </w:rPr>
  </w:style>
  <w:style w:type="character" w:customStyle="1" w:styleId="57">
    <w:name w:val="标题 4 Char"/>
    <w:basedOn w:val="48"/>
    <w:link w:val="5"/>
    <w:qFormat/>
    <w:uiPriority w:val="0"/>
    <w:rPr>
      <w:rFonts w:ascii="Arial" w:hAnsi="Arial" w:eastAsia="黑体" w:cs="Times New Roman"/>
      <w:b/>
      <w:bCs/>
      <w:kern w:val="0"/>
      <w:sz w:val="28"/>
      <w:szCs w:val="28"/>
    </w:rPr>
  </w:style>
  <w:style w:type="character" w:customStyle="1" w:styleId="58">
    <w:name w:val="标题 5 Char"/>
    <w:basedOn w:val="48"/>
    <w:link w:val="6"/>
    <w:qFormat/>
    <w:uiPriority w:val="0"/>
    <w:rPr>
      <w:rFonts w:ascii="Arial" w:hAnsi="Arial" w:eastAsia="宋体" w:cs="Times New Roman"/>
      <w:b/>
      <w:bCs/>
      <w:kern w:val="0"/>
      <w:sz w:val="28"/>
      <w:szCs w:val="28"/>
    </w:rPr>
  </w:style>
  <w:style w:type="character" w:customStyle="1" w:styleId="59">
    <w:name w:val="标题 7 Char"/>
    <w:basedOn w:val="48"/>
    <w:link w:val="9"/>
    <w:qFormat/>
    <w:uiPriority w:val="0"/>
    <w:rPr>
      <w:rFonts w:ascii="Times New Roman" w:hAnsi="Times New Roman" w:eastAsia="宋体" w:cs="Times New Roman"/>
      <w:b/>
      <w:kern w:val="0"/>
      <w:sz w:val="20"/>
      <w:szCs w:val="20"/>
    </w:rPr>
  </w:style>
  <w:style w:type="character" w:customStyle="1" w:styleId="60">
    <w:name w:val="标题 8 Char"/>
    <w:basedOn w:val="48"/>
    <w:link w:val="10"/>
    <w:qFormat/>
    <w:uiPriority w:val="0"/>
    <w:rPr>
      <w:rFonts w:ascii="Arial" w:hAnsi="Arial" w:eastAsia="黑体" w:cs="Times New Roman"/>
      <w:kern w:val="0"/>
      <w:sz w:val="20"/>
      <w:szCs w:val="20"/>
    </w:rPr>
  </w:style>
  <w:style w:type="character" w:customStyle="1" w:styleId="61">
    <w:name w:val="标题 9 Char"/>
    <w:basedOn w:val="48"/>
    <w:link w:val="11"/>
    <w:qFormat/>
    <w:uiPriority w:val="0"/>
    <w:rPr>
      <w:rFonts w:ascii="Arial" w:hAnsi="Arial" w:eastAsia="黑体" w:cs="Times New Roman"/>
      <w:kern w:val="0"/>
      <w:sz w:val="20"/>
      <w:szCs w:val="20"/>
    </w:rPr>
  </w:style>
  <w:style w:type="character" w:customStyle="1" w:styleId="62">
    <w:name w:val="页眉 Char"/>
    <w:link w:val="29"/>
    <w:qFormat/>
    <w:locked/>
    <w:uiPriority w:val="99"/>
    <w:rPr>
      <w:sz w:val="18"/>
    </w:rPr>
  </w:style>
  <w:style w:type="character" w:customStyle="1" w:styleId="63">
    <w:name w:val="纯文本 Char1"/>
    <w:semiHidden/>
    <w:qFormat/>
    <w:uiPriority w:val="99"/>
    <w:rPr>
      <w:rFonts w:ascii="宋体" w:hAnsi="Courier New" w:eastAsia="宋体"/>
      <w:sz w:val="21"/>
    </w:rPr>
  </w:style>
  <w:style w:type="character" w:customStyle="1" w:styleId="64">
    <w:name w:val="main1"/>
    <w:qFormat/>
    <w:uiPriority w:val="99"/>
    <w:rPr>
      <w:color w:val="333333"/>
      <w:sz w:val="24"/>
    </w:rPr>
  </w:style>
  <w:style w:type="character" w:customStyle="1" w:styleId="65">
    <w:name w:val="HTML 预设格式 Char"/>
    <w:link w:val="38"/>
    <w:qFormat/>
    <w:locked/>
    <w:uiPriority w:val="0"/>
    <w:rPr>
      <w:rFonts w:ascii="Arial Unicode MS" w:hAnsi="Arial Unicode MS" w:eastAsia="Arial Unicode MS"/>
      <w:color w:val="000000"/>
    </w:rPr>
  </w:style>
  <w:style w:type="character" w:customStyle="1" w:styleId="66">
    <w:name w:val="Default Char Char"/>
    <w:link w:val="67"/>
    <w:qFormat/>
    <w:locked/>
    <w:uiPriority w:val="99"/>
    <w:rPr>
      <w:rFonts w:ascii="Arial Narrow" w:hAnsi="Arial Narrow"/>
      <w:color w:val="000000"/>
      <w:sz w:val="24"/>
    </w:rPr>
  </w:style>
  <w:style w:type="paragraph" w:customStyle="1" w:styleId="67">
    <w:name w:val="Default"/>
    <w:link w:val="66"/>
    <w:qFormat/>
    <w:uiPriority w:val="99"/>
    <w:pPr>
      <w:widowControl w:val="0"/>
      <w:autoSpaceDE w:val="0"/>
      <w:autoSpaceDN w:val="0"/>
      <w:adjustRightInd w:val="0"/>
    </w:pPr>
    <w:rPr>
      <w:rFonts w:ascii="Arial Narrow" w:hAnsi="Arial Narrow" w:eastAsiaTheme="minorEastAsia" w:cstheme="minorBidi"/>
      <w:color w:val="000000"/>
      <w:kern w:val="2"/>
      <w:sz w:val="24"/>
      <w:szCs w:val="22"/>
      <w:lang w:val="en-US" w:eastAsia="zh-CN" w:bidi="ar-SA"/>
    </w:rPr>
  </w:style>
  <w:style w:type="character" w:customStyle="1" w:styleId="68">
    <w:name w:val="三级 Char Char"/>
    <w:link w:val="69"/>
    <w:qFormat/>
    <w:locked/>
    <w:uiPriority w:val="99"/>
    <w:rPr>
      <w:rFonts w:ascii="宋体"/>
    </w:rPr>
  </w:style>
  <w:style w:type="paragraph" w:customStyle="1" w:styleId="69">
    <w:name w:val="三级"/>
    <w:basedOn w:val="1"/>
    <w:link w:val="68"/>
    <w:qFormat/>
    <w:uiPriority w:val="99"/>
    <w:pPr>
      <w:tabs>
        <w:tab w:val="left" w:pos="907"/>
      </w:tabs>
      <w:spacing w:afterLines="0" w:line="240" w:lineRule="auto"/>
      <w:ind w:left="907" w:hanging="907"/>
    </w:pPr>
    <w:rPr>
      <w:rFonts w:ascii="宋体" w:hAnsiTheme="minorHAnsi" w:eastAsiaTheme="minorEastAsia" w:cstheme="minorBidi"/>
      <w:szCs w:val="22"/>
    </w:rPr>
  </w:style>
  <w:style w:type="character" w:customStyle="1" w:styleId="70">
    <w:name w:val="文档结构图 Char"/>
    <w:link w:val="15"/>
    <w:qFormat/>
    <w:locked/>
    <w:uiPriority w:val="0"/>
    <w:rPr>
      <w:rFonts w:ascii="Arial" w:hAnsi="Arial"/>
      <w:sz w:val="24"/>
      <w:shd w:val="clear" w:color="auto" w:fill="000080"/>
    </w:rPr>
  </w:style>
  <w:style w:type="character" w:customStyle="1" w:styleId="71">
    <w:name w:val="样式 段后: 3.0 磅 行距: 1.5 倍行距 Char Char"/>
    <w:link w:val="72"/>
    <w:qFormat/>
    <w:locked/>
    <w:uiPriority w:val="99"/>
  </w:style>
  <w:style w:type="paragraph" w:customStyle="1" w:styleId="72">
    <w:name w:val="样式 段后: 3.0 磅 行距: 1.5 倍行距"/>
    <w:basedOn w:val="1"/>
    <w:link w:val="71"/>
    <w:qFormat/>
    <w:uiPriority w:val="99"/>
    <w:pPr>
      <w:spacing w:afterLines="0" w:line="360" w:lineRule="auto"/>
    </w:pPr>
    <w:rPr>
      <w:rFonts w:asciiTheme="minorHAnsi" w:hAnsiTheme="minorHAnsi" w:eastAsiaTheme="minorEastAsia" w:cstheme="minorBidi"/>
      <w:szCs w:val="22"/>
    </w:rPr>
  </w:style>
  <w:style w:type="character" w:customStyle="1" w:styleId="73">
    <w:name w:val="页脚 Char"/>
    <w:link w:val="28"/>
    <w:qFormat/>
    <w:locked/>
    <w:uiPriority w:val="99"/>
    <w:rPr>
      <w:sz w:val="18"/>
    </w:rPr>
  </w:style>
  <w:style w:type="character" w:customStyle="1" w:styleId="74">
    <w:name w:val="日期 Char"/>
    <w:link w:val="25"/>
    <w:qFormat/>
    <w:locked/>
    <w:uiPriority w:val="0"/>
    <w:rPr>
      <w:rFonts w:ascii="宋体" w:hAnsi="Times New Roman"/>
    </w:rPr>
  </w:style>
  <w:style w:type="character" w:customStyle="1" w:styleId="75">
    <w:name w:val="正文文本 3 Char"/>
    <w:link w:val="17"/>
    <w:qFormat/>
    <w:locked/>
    <w:uiPriority w:val="0"/>
    <w:rPr>
      <w:rFonts w:ascii="Times New Roman" w:hAnsi="Times New Roman"/>
    </w:rPr>
  </w:style>
  <w:style w:type="character" w:customStyle="1" w:styleId="76">
    <w:name w:val="标题 1 Char Char"/>
    <w:qFormat/>
    <w:uiPriority w:val="0"/>
    <w:rPr>
      <w:rFonts w:ascii="宋体" w:hAnsi="宋体" w:eastAsia="黑体"/>
      <w:b/>
      <w:kern w:val="44"/>
      <w:sz w:val="44"/>
      <w:lang w:val="en-US" w:eastAsia="zh-CN"/>
    </w:rPr>
  </w:style>
  <w:style w:type="character" w:customStyle="1" w:styleId="77">
    <w:name w:val="正文文本缩进 3 Char"/>
    <w:link w:val="34"/>
    <w:qFormat/>
    <w:locked/>
    <w:uiPriority w:val="0"/>
    <w:rPr>
      <w:rFonts w:ascii="宋体" w:hAnsi="Times New Roman"/>
      <w:b/>
    </w:rPr>
  </w:style>
  <w:style w:type="character" w:customStyle="1" w:styleId="78">
    <w:name w:val="样式1 Char Char Char Char"/>
    <w:link w:val="79"/>
    <w:qFormat/>
    <w:locked/>
    <w:uiPriority w:val="99"/>
    <w:rPr>
      <w:sz w:val="24"/>
    </w:rPr>
  </w:style>
  <w:style w:type="paragraph" w:customStyle="1" w:styleId="79">
    <w:name w:val="样式1 Char Char"/>
    <w:basedOn w:val="1"/>
    <w:next w:val="23"/>
    <w:link w:val="78"/>
    <w:qFormat/>
    <w:uiPriority w:val="99"/>
    <w:pPr>
      <w:spacing w:afterLines="0" w:line="360" w:lineRule="auto"/>
      <w:ind w:firstLine="516" w:firstLineChars="215"/>
    </w:pPr>
    <w:rPr>
      <w:rFonts w:asciiTheme="minorHAnsi" w:hAnsiTheme="minorHAnsi" w:eastAsiaTheme="minorEastAsia" w:cstheme="minorBidi"/>
      <w:sz w:val="24"/>
      <w:szCs w:val="22"/>
    </w:rPr>
  </w:style>
  <w:style w:type="character" w:customStyle="1" w:styleId="80">
    <w:name w:val="Balloon Text Char"/>
    <w:qFormat/>
    <w:locked/>
    <w:uiPriority w:val="99"/>
    <w:rPr>
      <w:sz w:val="18"/>
    </w:rPr>
  </w:style>
  <w:style w:type="character" w:customStyle="1" w:styleId="81">
    <w:name w:val="海洋正文 Char Char"/>
    <w:link w:val="82"/>
    <w:qFormat/>
    <w:locked/>
    <w:uiPriority w:val="99"/>
    <w:rPr>
      <w:rFonts w:eastAsia="仿宋_GB2312"/>
      <w:sz w:val="30"/>
    </w:rPr>
  </w:style>
  <w:style w:type="paragraph" w:customStyle="1" w:styleId="82">
    <w:name w:val="海洋正文"/>
    <w:basedOn w:val="1"/>
    <w:link w:val="81"/>
    <w:qFormat/>
    <w:uiPriority w:val="99"/>
    <w:pPr>
      <w:spacing w:afterLines="0" w:line="360" w:lineRule="auto"/>
      <w:ind w:firstLine="600" w:firstLineChars="200"/>
    </w:pPr>
    <w:rPr>
      <w:rFonts w:eastAsia="仿宋_GB2312" w:asciiTheme="minorHAnsi" w:hAnsiTheme="minorHAnsi" w:cstheme="minorBidi"/>
      <w:sz w:val="30"/>
      <w:szCs w:val="22"/>
    </w:rPr>
  </w:style>
  <w:style w:type="character" w:customStyle="1" w:styleId="83">
    <w:name w:val="正文文本 2 Char"/>
    <w:link w:val="37"/>
    <w:qFormat/>
    <w:locked/>
    <w:uiPriority w:val="0"/>
    <w:rPr>
      <w:rFonts w:ascii="Arial" w:hAnsi="Arial"/>
      <w:sz w:val="24"/>
    </w:rPr>
  </w:style>
  <w:style w:type="character" w:customStyle="1" w:styleId="84">
    <w:name w:val="Plain Text Char"/>
    <w:qFormat/>
    <w:locked/>
    <w:uiPriority w:val="99"/>
    <w:rPr>
      <w:rFonts w:ascii="宋体" w:hAnsi="Courier New"/>
    </w:rPr>
  </w:style>
  <w:style w:type="character" w:customStyle="1" w:styleId="85">
    <w:name w:val="正文文本缩进 Char"/>
    <w:link w:val="19"/>
    <w:qFormat/>
    <w:locked/>
    <w:uiPriority w:val="0"/>
    <w:rPr>
      <w:rFonts w:ascii="Arial" w:hAnsi="Arial"/>
      <w:sz w:val="24"/>
    </w:rPr>
  </w:style>
  <w:style w:type="character" w:customStyle="1" w:styleId="86">
    <w:name w:val="正文文本缩进 2 Char"/>
    <w:link w:val="26"/>
    <w:qFormat/>
    <w:locked/>
    <w:uiPriority w:val="0"/>
    <w:rPr>
      <w:rFonts w:ascii="Times New Roman" w:hAnsi="Times New Roman"/>
      <w:sz w:val="24"/>
    </w:rPr>
  </w:style>
  <w:style w:type="character" w:customStyle="1" w:styleId="87">
    <w:name w:val="yiyuan21"/>
    <w:qFormat/>
    <w:uiPriority w:val="99"/>
    <w:rPr>
      <w:rFonts w:ascii="Hei" w:hAnsi="Hei"/>
      <w:sz w:val="20"/>
    </w:rPr>
  </w:style>
  <w:style w:type="character" w:customStyle="1" w:styleId="88">
    <w:name w:val="正文缩进 Char"/>
    <w:link w:val="8"/>
    <w:qFormat/>
    <w:locked/>
    <w:uiPriority w:val="0"/>
    <w:rPr>
      <w:rFonts w:ascii="Arial" w:hAnsi="Arial"/>
      <w:sz w:val="24"/>
    </w:rPr>
  </w:style>
  <w:style w:type="character" w:customStyle="1" w:styleId="89">
    <w:name w:val="正文-yxw Char"/>
    <w:link w:val="90"/>
    <w:qFormat/>
    <w:locked/>
    <w:uiPriority w:val="99"/>
    <w:rPr>
      <w:sz w:val="24"/>
    </w:rPr>
  </w:style>
  <w:style w:type="paragraph" w:customStyle="1" w:styleId="90">
    <w:name w:val="正文-yxw"/>
    <w:basedOn w:val="1"/>
    <w:link w:val="89"/>
    <w:qFormat/>
    <w:uiPriority w:val="99"/>
    <w:pPr>
      <w:spacing w:afterLines="0" w:line="360" w:lineRule="auto"/>
      <w:ind w:firstLine="480" w:firstLineChars="200"/>
    </w:pPr>
    <w:rPr>
      <w:rFonts w:asciiTheme="minorHAnsi" w:hAnsiTheme="minorHAnsi" w:eastAsiaTheme="minorEastAsia" w:cstheme="minorBidi"/>
      <w:sz w:val="24"/>
      <w:szCs w:val="22"/>
    </w:rPr>
  </w:style>
  <w:style w:type="character" w:customStyle="1" w:styleId="91">
    <w:name w:val="批注框文本 Char1"/>
    <w:semiHidden/>
    <w:qFormat/>
    <w:uiPriority w:val="99"/>
    <w:rPr>
      <w:rFonts w:ascii="Arial" w:hAnsi="Arial" w:eastAsia="宋体"/>
      <w:sz w:val="18"/>
    </w:rPr>
  </w:style>
  <w:style w:type="character" w:customStyle="1" w:styleId="92">
    <w:name w:val="页眉 Char Char"/>
    <w:qFormat/>
    <w:uiPriority w:val="99"/>
    <w:rPr>
      <w:rFonts w:ascii="Arial" w:hAnsi="Arial" w:eastAsia="楷体_GB2312"/>
      <w:kern w:val="2"/>
      <w:sz w:val="18"/>
    </w:rPr>
  </w:style>
  <w:style w:type="character" w:customStyle="1" w:styleId="93">
    <w:name w:val="正文文本 Char"/>
    <w:link w:val="18"/>
    <w:qFormat/>
    <w:locked/>
    <w:uiPriority w:val="99"/>
    <w:rPr>
      <w:rFonts w:ascii="Arial" w:hAnsi="Arial"/>
      <w:sz w:val="24"/>
    </w:rPr>
  </w:style>
  <w:style w:type="character" w:customStyle="1" w:styleId="94">
    <w:name w:val="批注文字 Char"/>
    <w:link w:val="16"/>
    <w:qFormat/>
    <w:locked/>
    <w:uiPriority w:val="99"/>
    <w:rPr>
      <w:rFonts w:ascii="Times New Roman" w:hAnsi="Times New Roman"/>
      <w:sz w:val="24"/>
    </w:rPr>
  </w:style>
  <w:style w:type="character" w:customStyle="1" w:styleId="95">
    <w:name w:val="No Spacing Char"/>
    <w:link w:val="96"/>
    <w:qFormat/>
    <w:locked/>
    <w:uiPriority w:val="99"/>
    <w:rPr>
      <w:sz w:val="22"/>
    </w:rPr>
  </w:style>
  <w:style w:type="paragraph" w:customStyle="1" w:styleId="96">
    <w:name w:val="无间隔1"/>
    <w:link w:val="95"/>
    <w:qFormat/>
    <w:uiPriority w:val="99"/>
    <w:pPr>
      <w:widowControl w:val="0"/>
      <w:jc w:val="both"/>
    </w:pPr>
    <w:rPr>
      <w:rFonts w:asciiTheme="minorHAnsi" w:hAnsiTheme="minorHAnsi" w:eastAsiaTheme="minorEastAsia" w:cstheme="minorBidi"/>
      <w:kern w:val="2"/>
      <w:sz w:val="22"/>
      <w:szCs w:val="22"/>
      <w:lang w:val="en-US" w:eastAsia="zh-CN" w:bidi="ar-SA"/>
    </w:rPr>
  </w:style>
  <w:style w:type="character" w:customStyle="1" w:styleId="97">
    <w:name w:val="正文-xxzx 字符"/>
    <w:link w:val="98"/>
    <w:qFormat/>
    <w:locked/>
    <w:uiPriority w:val="99"/>
    <w:rPr>
      <w:sz w:val="24"/>
    </w:rPr>
  </w:style>
  <w:style w:type="paragraph" w:customStyle="1" w:styleId="98">
    <w:name w:val="正文-xxzx"/>
    <w:basedOn w:val="1"/>
    <w:link w:val="97"/>
    <w:qFormat/>
    <w:uiPriority w:val="99"/>
    <w:pPr>
      <w:widowControl/>
      <w:spacing w:afterLines="0" w:line="360" w:lineRule="auto"/>
      <w:ind w:firstLine="560" w:firstLineChars="200"/>
      <w:jc w:val="left"/>
    </w:pPr>
    <w:rPr>
      <w:rFonts w:asciiTheme="minorHAnsi" w:hAnsiTheme="minorHAnsi" w:eastAsiaTheme="minorEastAsia" w:cstheme="minorBidi"/>
      <w:sz w:val="24"/>
      <w:szCs w:val="22"/>
    </w:rPr>
  </w:style>
  <w:style w:type="character" w:customStyle="1" w:styleId="99">
    <w:name w:val="List Paragraph Char"/>
    <w:link w:val="100"/>
    <w:qFormat/>
    <w:locked/>
    <w:uiPriority w:val="99"/>
  </w:style>
  <w:style w:type="paragraph" w:customStyle="1" w:styleId="100">
    <w:name w:val="列出段落2"/>
    <w:basedOn w:val="1"/>
    <w:link w:val="99"/>
    <w:qFormat/>
    <w:uiPriority w:val="99"/>
    <w:pPr>
      <w:spacing w:afterLines="0" w:line="240" w:lineRule="auto"/>
      <w:ind w:firstLine="420" w:firstLineChars="200"/>
    </w:pPr>
    <w:rPr>
      <w:rFonts w:asciiTheme="minorHAnsi" w:hAnsiTheme="minorHAnsi" w:eastAsiaTheme="minorEastAsia" w:cstheme="minorBidi"/>
      <w:szCs w:val="22"/>
    </w:rPr>
  </w:style>
  <w:style w:type="character" w:customStyle="1" w:styleId="101">
    <w:name w:val="纯文本 Char"/>
    <w:link w:val="23"/>
    <w:qFormat/>
    <w:locked/>
    <w:uiPriority w:val="0"/>
    <w:rPr>
      <w:rFonts w:ascii="宋体" w:hAnsi="Courier New"/>
    </w:rPr>
  </w:style>
  <w:style w:type="character" w:customStyle="1" w:styleId="102">
    <w:name w:val="标题 Char"/>
    <w:link w:val="41"/>
    <w:qFormat/>
    <w:locked/>
    <w:uiPriority w:val="0"/>
    <w:rPr>
      <w:rFonts w:ascii="Arial" w:hAnsi="Arial" w:eastAsia="隶书"/>
      <w:b/>
    </w:rPr>
  </w:style>
  <w:style w:type="character" w:customStyle="1" w:styleId="103">
    <w:name w:val="页脚 Char Char"/>
    <w:qFormat/>
    <w:uiPriority w:val="99"/>
    <w:rPr>
      <w:rFonts w:ascii="Arial" w:hAnsi="Arial" w:eastAsia="楷体_GB2312"/>
      <w:sz w:val="18"/>
    </w:rPr>
  </w:style>
  <w:style w:type="character" w:customStyle="1" w:styleId="104">
    <w:name w:val="批注框文本 Char"/>
    <w:link w:val="27"/>
    <w:qFormat/>
    <w:locked/>
    <w:uiPriority w:val="99"/>
    <w:rPr>
      <w:rFonts w:ascii="Arial" w:hAnsi="Arial"/>
    </w:rPr>
  </w:style>
  <w:style w:type="character" w:customStyle="1" w:styleId="105">
    <w:name w:val="标题 3 Char Char"/>
    <w:qFormat/>
    <w:uiPriority w:val="0"/>
    <w:rPr>
      <w:rFonts w:ascii="Arial" w:hAnsi="Arial" w:eastAsia="宋体"/>
      <w:b/>
      <w:kern w:val="2"/>
      <w:sz w:val="32"/>
      <w:lang w:val="en-US" w:eastAsia="zh-CN"/>
    </w:rPr>
  </w:style>
  <w:style w:type="character" w:customStyle="1" w:styleId="106">
    <w:name w:val="0级 Char Char"/>
    <w:link w:val="107"/>
    <w:qFormat/>
    <w:locked/>
    <w:uiPriority w:val="99"/>
    <w:rPr>
      <w:rFonts w:ascii="宋体"/>
      <w:color w:val="000000"/>
    </w:rPr>
  </w:style>
  <w:style w:type="paragraph" w:customStyle="1" w:styleId="107">
    <w:name w:val="0级"/>
    <w:basedOn w:val="1"/>
    <w:link w:val="106"/>
    <w:qFormat/>
    <w:uiPriority w:val="99"/>
    <w:pPr>
      <w:spacing w:afterLines="0" w:line="240" w:lineRule="auto"/>
      <w:ind w:left="991" w:leftChars="472"/>
    </w:pPr>
    <w:rPr>
      <w:rFonts w:ascii="宋体" w:hAnsiTheme="minorHAnsi" w:eastAsiaTheme="minorEastAsia" w:cstheme="minorBidi"/>
      <w:color w:val="000000"/>
      <w:szCs w:val="22"/>
    </w:rPr>
  </w:style>
  <w:style w:type="character" w:customStyle="1" w:styleId="108">
    <w:name w:val="Char Char2"/>
    <w:qFormat/>
    <w:uiPriority w:val="99"/>
    <w:rPr>
      <w:rFonts w:ascii="Arial" w:hAnsi="Arial" w:eastAsia="宋体"/>
      <w:b/>
      <w:kern w:val="44"/>
      <w:sz w:val="44"/>
      <w:lang w:val="en-US" w:eastAsia="zh-CN"/>
    </w:rPr>
  </w:style>
  <w:style w:type="paragraph" w:customStyle="1" w:styleId="109">
    <w:name w:val="1册标题2"/>
    <w:basedOn w:val="1"/>
    <w:next w:val="1"/>
    <w:qFormat/>
    <w:uiPriority w:val="99"/>
    <w:pPr>
      <w:adjustRightInd w:val="0"/>
      <w:spacing w:beforeLines="50" w:afterLines="50"/>
      <w:jc w:val="center"/>
      <w:textAlignment w:val="baseline"/>
      <w:outlineLvl w:val="1"/>
    </w:pPr>
    <w:rPr>
      <w:rFonts w:eastAsia="黑体"/>
      <w:bCs/>
      <w:kern w:val="0"/>
      <w:sz w:val="32"/>
    </w:rPr>
  </w:style>
  <w:style w:type="character" w:customStyle="1" w:styleId="110">
    <w:name w:val="正文文本缩进 Char1"/>
    <w:basedOn w:val="48"/>
    <w:semiHidden/>
    <w:qFormat/>
    <w:uiPriority w:val="99"/>
    <w:rPr>
      <w:rFonts w:ascii="Arial" w:hAnsi="Arial" w:eastAsia="宋体" w:cs="Times New Roman"/>
      <w:szCs w:val="24"/>
    </w:rPr>
  </w:style>
  <w:style w:type="paragraph" w:customStyle="1" w:styleId="111">
    <w:name w:val="样式2"/>
    <w:basedOn w:val="41"/>
    <w:next w:val="112"/>
    <w:qFormat/>
    <w:uiPriority w:val="0"/>
    <w:pPr>
      <w:spacing w:before="120" w:after="120"/>
    </w:pPr>
    <w:rPr>
      <w:rFonts w:eastAsia="黑体"/>
      <w:b w:val="0"/>
      <w:sz w:val="30"/>
    </w:rPr>
  </w:style>
  <w:style w:type="paragraph" w:customStyle="1" w:styleId="112">
    <w:name w:val="样式1"/>
    <w:basedOn w:val="41"/>
    <w:qFormat/>
    <w:uiPriority w:val="0"/>
    <w:pPr>
      <w:spacing w:before="0" w:line="240" w:lineRule="atLeast"/>
      <w:outlineLvl w:val="9"/>
    </w:pPr>
    <w:rPr>
      <w:rFonts w:ascii="宋体" w:hAnsi="宋体" w:eastAsia="宋体"/>
      <w:sz w:val="28"/>
    </w:rPr>
  </w:style>
  <w:style w:type="character" w:customStyle="1" w:styleId="113">
    <w:name w:val="正文文本缩进 2 Char1"/>
    <w:basedOn w:val="48"/>
    <w:semiHidden/>
    <w:qFormat/>
    <w:uiPriority w:val="99"/>
    <w:rPr>
      <w:rFonts w:ascii="Arial" w:hAnsi="Arial" w:eastAsia="宋体" w:cs="Times New Roman"/>
      <w:szCs w:val="24"/>
    </w:rPr>
  </w:style>
  <w:style w:type="character" w:customStyle="1" w:styleId="114">
    <w:name w:val="页脚 Char1"/>
    <w:basedOn w:val="48"/>
    <w:semiHidden/>
    <w:qFormat/>
    <w:uiPriority w:val="99"/>
    <w:rPr>
      <w:rFonts w:ascii="Arial" w:hAnsi="Arial" w:eastAsia="宋体" w:cs="Times New Roman"/>
      <w:sz w:val="18"/>
      <w:szCs w:val="18"/>
    </w:rPr>
  </w:style>
  <w:style w:type="character" w:customStyle="1" w:styleId="115">
    <w:name w:val="正文文本 3 Char1"/>
    <w:basedOn w:val="48"/>
    <w:semiHidden/>
    <w:qFormat/>
    <w:uiPriority w:val="99"/>
    <w:rPr>
      <w:rFonts w:ascii="Arial" w:hAnsi="Arial" w:eastAsia="宋体" w:cs="Times New Roman"/>
      <w:sz w:val="16"/>
      <w:szCs w:val="16"/>
    </w:rPr>
  </w:style>
  <w:style w:type="paragraph" w:customStyle="1" w:styleId="116">
    <w:name w:val="font7"/>
    <w:basedOn w:val="1"/>
    <w:qFormat/>
    <w:uiPriority w:val="99"/>
    <w:pPr>
      <w:widowControl/>
      <w:spacing w:before="100" w:beforeAutospacing="1" w:afterLines="0" w:afterAutospacing="1" w:line="240" w:lineRule="auto"/>
      <w:jc w:val="left"/>
    </w:pPr>
    <w:rPr>
      <w:rFonts w:ascii="Times New Roman" w:hAnsi="Times New Roman"/>
      <w:kern w:val="0"/>
      <w:sz w:val="24"/>
      <w:szCs w:val="20"/>
    </w:rPr>
  </w:style>
  <w:style w:type="character" w:customStyle="1" w:styleId="117">
    <w:name w:val="标题 Char1"/>
    <w:basedOn w:val="48"/>
    <w:qFormat/>
    <w:uiPriority w:val="10"/>
    <w:rPr>
      <w:rFonts w:eastAsia="宋体" w:asciiTheme="majorHAnsi" w:hAnsiTheme="majorHAnsi" w:cstheme="majorBidi"/>
      <w:b/>
      <w:bCs/>
      <w:sz w:val="32"/>
      <w:szCs w:val="32"/>
    </w:rPr>
  </w:style>
  <w:style w:type="character" w:customStyle="1" w:styleId="118">
    <w:name w:val="纯文本 Char2"/>
    <w:basedOn w:val="48"/>
    <w:semiHidden/>
    <w:qFormat/>
    <w:uiPriority w:val="99"/>
    <w:rPr>
      <w:rFonts w:ascii="宋体" w:hAnsi="Courier New" w:eastAsia="宋体" w:cs="Courier New"/>
      <w:szCs w:val="21"/>
    </w:rPr>
  </w:style>
  <w:style w:type="paragraph" w:customStyle="1" w:styleId="119">
    <w:name w:val="正文 居中"/>
    <w:basedOn w:val="1"/>
    <w:qFormat/>
    <w:uiPriority w:val="99"/>
    <w:pPr>
      <w:spacing w:afterLines="0" w:line="360" w:lineRule="auto"/>
      <w:jc w:val="center"/>
    </w:pPr>
    <w:rPr>
      <w:rFonts w:ascii="Times New Roman" w:hAnsi="Times New Roman"/>
      <w:sz w:val="24"/>
      <w:szCs w:val="20"/>
    </w:rPr>
  </w:style>
  <w:style w:type="paragraph" w:customStyle="1" w:styleId="12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4"/>
      <w:szCs w:val="20"/>
    </w:rPr>
  </w:style>
  <w:style w:type="paragraph" w:customStyle="1" w:styleId="121">
    <w:name w:val="图"/>
    <w:basedOn w:val="1"/>
    <w:qFormat/>
    <w:uiPriority w:val="0"/>
    <w:pPr>
      <w:keepNext/>
      <w:adjustRightInd w:val="0"/>
      <w:spacing w:before="60" w:afterLines="0"/>
      <w:jc w:val="center"/>
      <w:textAlignment w:val="center"/>
    </w:pPr>
    <w:rPr>
      <w:rFonts w:ascii="Times New Roman" w:hAnsi="Times New Roman"/>
      <w:spacing w:val="20"/>
      <w:kern w:val="0"/>
      <w:sz w:val="24"/>
      <w:szCs w:val="20"/>
    </w:rPr>
  </w:style>
  <w:style w:type="paragraph" w:customStyle="1" w:styleId="122">
    <w:name w:val="font8"/>
    <w:basedOn w:val="1"/>
    <w:qFormat/>
    <w:uiPriority w:val="99"/>
    <w:pPr>
      <w:widowControl/>
      <w:spacing w:before="100" w:beforeAutospacing="1" w:afterLines="0" w:afterAutospacing="1" w:line="240" w:lineRule="auto"/>
      <w:jc w:val="left"/>
    </w:pPr>
    <w:rPr>
      <w:rFonts w:ascii="Times New Roman" w:hAnsi="Times New Roman"/>
      <w:kern w:val="0"/>
      <w:sz w:val="24"/>
      <w:szCs w:val="20"/>
    </w:rPr>
  </w:style>
  <w:style w:type="paragraph" w:customStyle="1" w:styleId="123">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4"/>
      <w:szCs w:val="20"/>
    </w:rPr>
  </w:style>
  <w:style w:type="paragraph" w:customStyle="1" w:styleId="124">
    <w:name w:val="默认段落字体 Para Char Char Char Char"/>
    <w:basedOn w:val="1"/>
    <w:qFormat/>
    <w:uiPriority w:val="99"/>
    <w:pPr>
      <w:spacing w:afterLines="0" w:line="240" w:lineRule="auto"/>
    </w:pPr>
    <w:rPr>
      <w:rFonts w:ascii="Times New Roman" w:hAnsi="Times New Roman"/>
    </w:rPr>
  </w:style>
  <w:style w:type="paragraph" w:customStyle="1" w:styleId="125">
    <w:name w:val="p0"/>
    <w:basedOn w:val="1"/>
    <w:qFormat/>
    <w:uiPriority w:val="99"/>
    <w:pPr>
      <w:widowControl/>
      <w:spacing w:afterLines="0"/>
    </w:pPr>
    <w:rPr>
      <w:kern w:val="0"/>
      <w:szCs w:val="21"/>
    </w:rPr>
  </w:style>
  <w:style w:type="paragraph" w:customStyle="1" w:styleId="126">
    <w:name w:val="1册标题1"/>
    <w:basedOn w:val="1"/>
    <w:next w:val="1"/>
    <w:qFormat/>
    <w:uiPriority w:val="99"/>
    <w:pPr>
      <w:spacing w:beforeLines="50" w:afterLines="50"/>
      <w:jc w:val="center"/>
      <w:outlineLvl w:val="0"/>
    </w:pPr>
    <w:rPr>
      <w:rFonts w:eastAsia="黑体"/>
      <w:b/>
      <w:bCs/>
      <w:sz w:val="48"/>
      <w:szCs w:val="20"/>
    </w:rPr>
  </w:style>
  <w:style w:type="paragraph" w:customStyle="1" w:styleId="127">
    <w:name w:val="Char Char Char Char"/>
    <w:basedOn w:val="1"/>
    <w:qFormat/>
    <w:uiPriority w:val="0"/>
    <w:pPr>
      <w:widowControl/>
      <w:spacing w:afterLines="0" w:line="240" w:lineRule="exact"/>
      <w:jc w:val="left"/>
    </w:pPr>
    <w:rPr>
      <w:rFonts w:ascii="Times New Roman" w:hAnsi="Times New Roman"/>
    </w:rPr>
  </w:style>
  <w:style w:type="paragraph" w:customStyle="1" w:styleId="128">
    <w:name w:val="font0"/>
    <w:basedOn w:val="1"/>
    <w:qFormat/>
    <w:uiPriority w:val="0"/>
    <w:pPr>
      <w:widowControl/>
      <w:spacing w:before="100" w:beforeAutospacing="1" w:afterLines="0" w:afterAutospacing="1" w:line="240" w:lineRule="auto"/>
      <w:jc w:val="left"/>
    </w:pPr>
    <w:rPr>
      <w:rFonts w:ascii="宋体" w:hAnsi="宋体"/>
      <w:kern w:val="0"/>
      <w:sz w:val="24"/>
      <w:szCs w:val="20"/>
    </w:rPr>
  </w:style>
  <w:style w:type="paragraph" w:customStyle="1" w:styleId="12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4"/>
      <w:szCs w:val="20"/>
    </w:rPr>
  </w:style>
  <w:style w:type="character" w:customStyle="1" w:styleId="130">
    <w:name w:val="HTML 预设格式 Char1"/>
    <w:basedOn w:val="48"/>
    <w:semiHidden/>
    <w:qFormat/>
    <w:uiPriority w:val="99"/>
    <w:rPr>
      <w:rFonts w:ascii="Courier New" w:hAnsi="Courier New" w:eastAsia="宋体" w:cs="Courier New"/>
      <w:sz w:val="20"/>
      <w:szCs w:val="20"/>
    </w:rPr>
  </w:style>
  <w:style w:type="paragraph" w:customStyle="1" w:styleId="131">
    <w:name w:val="Char Char Char Char Char Char Char Char Char Char"/>
    <w:basedOn w:val="1"/>
    <w:qFormat/>
    <w:uiPriority w:val="99"/>
    <w:pPr>
      <w:widowControl/>
      <w:spacing w:afterLines="0" w:line="240" w:lineRule="exact"/>
      <w:jc w:val="left"/>
    </w:pPr>
    <w:rPr>
      <w:rFonts w:ascii="Verdana" w:hAnsi="Verdana" w:eastAsia="仿宋_GB2312"/>
      <w:kern w:val="0"/>
      <w:sz w:val="24"/>
      <w:szCs w:val="20"/>
      <w:lang w:eastAsia="en-US"/>
    </w:rPr>
  </w:style>
  <w:style w:type="paragraph" w:customStyle="1" w:styleId="132">
    <w:name w:val="font6"/>
    <w:basedOn w:val="1"/>
    <w:qFormat/>
    <w:uiPriority w:val="0"/>
    <w:pPr>
      <w:widowControl/>
      <w:spacing w:before="100" w:beforeAutospacing="1" w:afterLines="0" w:afterAutospacing="1" w:line="240" w:lineRule="auto"/>
      <w:jc w:val="left"/>
    </w:pPr>
    <w:rPr>
      <w:rFonts w:ascii="宋体" w:hAnsi="宋体"/>
      <w:kern w:val="0"/>
      <w:sz w:val="18"/>
      <w:szCs w:val="20"/>
    </w:rPr>
  </w:style>
  <w:style w:type="character" w:customStyle="1" w:styleId="133">
    <w:name w:val="正文文本 2 Char1"/>
    <w:basedOn w:val="48"/>
    <w:semiHidden/>
    <w:qFormat/>
    <w:uiPriority w:val="99"/>
    <w:rPr>
      <w:rFonts w:ascii="Arial" w:hAnsi="Arial" w:eastAsia="宋体" w:cs="Times New Roman"/>
      <w:szCs w:val="24"/>
    </w:rPr>
  </w:style>
  <w:style w:type="paragraph" w:customStyle="1" w:styleId="134">
    <w:name w:val="列出段落1"/>
    <w:basedOn w:val="1"/>
    <w:qFormat/>
    <w:uiPriority w:val="0"/>
    <w:pPr>
      <w:ind w:firstLine="420" w:firstLineChars="200"/>
    </w:pPr>
  </w:style>
  <w:style w:type="paragraph" w:customStyle="1" w:styleId="135">
    <w:name w:val="题注4"/>
    <w:basedOn w:val="1"/>
    <w:next w:val="13"/>
    <w:qFormat/>
    <w:uiPriority w:val="99"/>
    <w:pPr>
      <w:spacing w:afterLines="0" w:line="240" w:lineRule="auto"/>
      <w:jc w:val="center"/>
    </w:pPr>
    <w:rPr>
      <w:rFonts w:ascii="宋体" w:hAnsi="宋体"/>
      <w:sz w:val="24"/>
      <w:szCs w:val="20"/>
    </w:rPr>
  </w:style>
  <w:style w:type="character" w:customStyle="1" w:styleId="136">
    <w:name w:val="批注文字 Char1"/>
    <w:basedOn w:val="48"/>
    <w:qFormat/>
    <w:uiPriority w:val="99"/>
    <w:rPr>
      <w:rFonts w:ascii="Arial" w:hAnsi="Arial" w:eastAsia="宋体" w:cs="Times New Roman"/>
      <w:szCs w:val="24"/>
    </w:rPr>
  </w:style>
  <w:style w:type="paragraph" w:customStyle="1" w:styleId="137">
    <w:name w:val="Char Char Char Char Char Char Char Char Char Char1"/>
    <w:basedOn w:val="1"/>
    <w:qFormat/>
    <w:uiPriority w:val="99"/>
    <w:pPr>
      <w:widowControl/>
      <w:spacing w:afterLines="0" w:line="240" w:lineRule="exact"/>
      <w:jc w:val="left"/>
    </w:pPr>
    <w:rPr>
      <w:rFonts w:ascii="Verdana" w:hAnsi="Verdana" w:eastAsia="仿宋_GB2312"/>
      <w:kern w:val="0"/>
      <w:sz w:val="24"/>
      <w:szCs w:val="20"/>
      <w:lang w:eastAsia="en-US"/>
    </w:rPr>
  </w:style>
  <w:style w:type="paragraph" w:customStyle="1" w:styleId="138">
    <w:name w:val="样式 宋体 小四 行距: 1.5 倍行距"/>
    <w:basedOn w:val="5"/>
    <w:qFormat/>
    <w:uiPriority w:val="99"/>
    <w:pPr>
      <w:spacing w:line="360" w:lineRule="auto"/>
    </w:pPr>
    <w:rPr>
      <w:rFonts w:ascii="宋体" w:hAnsi="宋体" w:eastAsia="宋体"/>
      <w:b w:val="0"/>
      <w:sz w:val="24"/>
      <w:szCs w:val="20"/>
    </w:rPr>
  </w:style>
  <w:style w:type="character" w:customStyle="1" w:styleId="139">
    <w:name w:val="正文文本 Char1"/>
    <w:basedOn w:val="48"/>
    <w:qFormat/>
    <w:uiPriority w:val="0"/>
    <w:rPr>
      <w:rFonts w:ascii="Arial" w:hAnsi="Arial" w:eastAsia="宋体" w:cs="Times New Roman"/>
      <w:szCs w:val="24"/>
    </w:rPr>
  </w:style>
  <w:style w:type="paragraph" w:customStyle="1" w:styleId="140">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olor w:val="FF0000"/>
      <w:kern w:val="0"/>
      <w:sz w:val="24"/>
      <w:szCs w:val="20"/>
    </w:rPr>
  </w:style>
  <w:style w:type="paragraph" w:customStyle="1" w:styleId="141">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2"/>
      <w:szCs w:val="20"/>
    </w:rPr>
  </w:style>
  <w:style w:type="paragraph" w:customStyle="1" w:styleId="142">
    <w:name w:val="xl33"/>
    <w:basedOn w:val="1"/>
    <w:qFormat/>
    <w:uiPriority w:val="99"/>
    <w:pPr>
      <w:widowControl/>
      <w:spacing w:before="100" w:beforeAutospacing="1" w:afterLines="0" w:afterAutospacing="1" w:line="240" w:lineRule="auto"/>
      <w:jc w:val="center"/>
    </w:pPr>
    <w:rPr>
      <w:rFonts w:ascii="黑体" w:hAnsi="宋体" w:eastAsia="黑体"/>
      <w:b/>
      <w:kern w:val="0"/>
      <w:sz w:val="50"/>
      <w:szCs w:val="20"/>
      <w:u w:val="single"/>
    </w:rPr>
  </w:style>
  <w:style w:type="character" w:customStyle="1" w:styleId="143">
    <w:name w:val="批注框文本 Char2"/>
    <w:basedOn w:val="48"/>
    <w:semiHidden/>
    <w:qFormat/>
    <w:uiPriority w:val="99"/>
    <w:rPr>
      <w:rFonts w:ascii="Arial" w:hAnsi="Arial" w:eastAsia="宋体" w:cs="Times New Roman"/>
      <w:sz w:val="18"/>
      <w:szCs w:val="18"/>
    </w:rPr>
  </w:style>
  <w:style w:type="character" w:customStyle="1" w:styleId="144">
    <w:name w:val="正文文本缩进 3 Char1"/>
    <w:basedOn w:val="48"/>
    <w:semiHidden/>
    <w:qFormat/>
    <w:uiPriority w:val="99"/>
    <w:rPr>
      <w:rFonts w:ascii="Arial" w:hAnsi="Arial" w:eastAsia="宋体" w:cs="Times New Roman"/>
      <w:sz w:val="16"/>
      <w:szCs w:val="16"/>
    </w:rPr>
  </w:style>
  <w:style w:type="character" w:customStyle="1" w:styleId="145">
    <w:name w:val="文档结构图 Char1"/>
    <w:basedOn w:val="48"/>
    <w:semiHidden/>
    <w:qFormat/>
    <w:uiPriority w:val="99"/>
    <w:rPr>
      <w:rFonts w:ascii="宋体" w:hAnsi="Arial" w:eastAsia="宋体" w:cs="Times New Roman"/>
      <w:sz w:val="18"/>
      <w:szCs w:val="18"/>
    </w:rPr>
  </w:style>
  <w:style w:type="character" w:customStyle="1" w:styleId="146">
    <w:name w:val="页眉 Char1"/>
    <w:basedOn w:val="48"/>
    <w:semiHidden/>
    <w:qFormat/>
    <w:uiPriority w:val="99"/>
    <w:rPr>
      <w:rFonts w:ascii="Arial" w:hAnsi="Arial" w:eastAsia="宋体" w:cs="Times New Roman"/>
      <w:sz w:val="18"/>
      <w:szCs w:val="18"/>
    </w:rPr>
  </w:style>
  <w:style w:type="character" w:customStyle="1" w:styleId="147">
    <w:name w:val="日期 Char1"/>
    <w:basedOn w:val="48"/>
    <w:semiHidden/>
    <w:qFormat/>
    <w:uiPriority w:val="99"/>
    <w:rPr>
      <w:rFonts w:ascii="Arial" w:hAnsi="Arial" w:eastAsia="宋体" w:cs="Times New Roman"/>
      <w:szCs w:val="24"/>
    </w:rPr>
  </w:style>
  <w:style w:type="paragraph" w:customStyle="1" w:styleId="148">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黑体" w:hAnsi="宋体" w:eastAsia="黑体"/>
      <w:b/>
      <w:kern w:val="0"/>
      <w:sz w:val="24"/>
      <w:szCs w:val="20"/>
    </w:rPr>
  </w:style>
  <w:style w:type="paragraph" w:customStyle="1" w:styleId="149">
    <w:name w:val="2册标题4"/>
    <w:basedOn w:val="1"/>
    <w:next w:val="1"/>
    <w:qFormat/>
    <w:uiPriority w:val="0"/>
    <w:pPr>
      <w:spacing w:beforeLines="50" w:afterLines="50"/>
      <w:ind w:left="420" w:leftChars="200"/>
      <w:outlineLvl w:val="3"/>
    </w:pPr>
    <w:rPr>
      <w:rFonts w:eastAsia="幼圆" w:cs="Arial"/>
      <w:b/>
      <w:sz w:val="24"/>
    </w:rPr>
  </w:style>
  <w:style w:type="paragraph" w:customStyle="1" w:styleId="150">
    <w:name w:val="Char"/>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51">
    <w:name w:val="xl22"/>
    <w:basedOn w:val="1"/>
    <w:qFormat/>
    <w:uiPriority w:val="99"/>
    <w:pPr>
      <w:widowControl/>
      <w:pBdr>
        <w:bottom w:val="single" w:color="auto" w:sz="4" w:space="0"/>
      </w:pBdr>
      <w:spacing w:before="100" w:beforeAutospacing="1" w:afterLines="0" w:afterAutospacing="1" w:line="240" w:lineRule="auto"/>
      <w:jc w:val="left"/>
    </w:pPr>
    <w:rPr>
      <w:rFonts w:ascii="宋体" w:hAnsi="宋体"/>
      <w:kern w:val="0"/>
      <w:sz w:val="24"/>
      <w:szCs w:val="20"/>
    </w:rPr>
  </w:style>
  <w:style w:type="paragraph" w:customStyle="1" w:styleId="15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Times New Roman" w:hAnsi="Times New Roman"/>
      <w:kern w:val="0"/>
      <w:sz w:val="24"/>
      <w:szCs w:val="20"/>
    </w:rPr>
  </w:style>
  <w:style w:type="paragraph" w:customStyle="1" w:styleId="153">
    <w:name w:val="Char5 Char Char Char Char Char Char"/>
    <w:basedOn w:val="1"/>
    <w:qFormat/>
    <w:uiPriority w:val="99"/>
    <w:pPr>
      <w:widowControl/>
      <w:spacing w:afterLines="0" w:line="240" w:lineRule="exact"/>
      <w:jc w:val="left"/>
    </w:pPr>
    <w:rPr>
      <w:rFonts w:ascii="Verdana" w:hAnsi="Verdana" w:eastAsia="仿宋_GB2312"/>
      <w:kern w:val="0"/>
      <w:sz w:val="24"/>
      <w:szCs w:val="20"/>
      <w:lang w:eastAsia="en-US"/>
    </w:rPr>
  </w:style>
  <w:style w:type="paragraph" w:customStyle="1" w:styleId="15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Times New Roman" w:hAnsi="Times New Roman"/>
      <w:kern w:val="0"/>
      <w:sz w:val="24"/>
      <w:szCs w:val="20"/>
    </w:rPr>
  </w:style>
  <w:style w:type="paragraph" w:customStyle="1" w:styleId="155">
    <w:name w:val="font9"/>
    <w:basedOn w:val="1"/>
    <w:qFormat/>
    <w:uiPriority w:val="99"/>
    <w:pPr>
      <w:widowControl/>
      <w:spacing w:before="100" w:beforeAutospacing="1" w:afterLines="0" w:afterAutospacing="1" w:line="240" w:lineRule="auto"/>
      <w:jc w:val="left"/>
    </w:pPr>
    <w:rPr>
      <w:rFonts w:ascii="宋体" w:hAnsi="宋体"/>
      <w:kern w:val="0"/>
      <w:sz w:val="24"/>
      <w:szCs w:val="20"/>
    </w:rPr>
  </w:style>
  <w:style w:type="paragraph" w:customStyle="1" w:styleId="156">
    <w:name w:val="2册标题3"/>
    <w:basedOn w:val="1"/>
    <w:next w:val="1"/>
    <w:qFormat/>
    <w:uiPriority w:val="99"/>
    <w:pPr>
      <w:spacing w:beforeLines="50" w:afterLines="50"/>
      <w:ind w:left="210" w:leftChars="100"/>
      <w:jc w:val="center"/>
      <w:outlineLvl w:val="2"/>
    </w:pPr>
    <w:rPr>
      <w:rFonts w:ascii="宋体" w:hAnsi="宋体" w:cs="Arial"/>
      <w:b/>
      <w:bCs/>
      <w:sz w:val="30"/>
      <w:szCs w:val="28"/>
    </w:rPr>
  </w:style>
  <w:style w:type="paragraph" w:customStyle="1" w:styleId="157">
    <w:name w:val="1册标题3"/>
    <w:basedOn w:val="1"/>
    <w:next w:val="1"/>
    <w:qFormat/>
    <w:uiPriority w:val="99"/>
    <w:pPr>
      <w:keepNext/>
      <w:keepLines/>
      <w:adjustRightInd w:val="0"/>
      <w:spacing w:beforeLines="50" w:afterLines="50"/>
      <w:textAlignment w:val="baseline"/>
      <w:outlineLvl w:val="2"/>
    </w:pPr>
    <w:rPr>
      <w:rFonts w:eastAsia="黑体"/>
      <w:kern w:val="0"/>
      <w:sz w:val="30"/>
      <w:szCs w:val="20"/>
    </w:rPr>
  </w:style>
  <w:style w:type="paragraph" w:customStyle="1" w:styleId="158">
    <w:name w:val="列出段落11"/>
    <w:basedOn w:val="1"/>
    <w:qFormat/>
    <w:uiPriority w:val="99"/>
    <w:pPr>
      <w:spacing w:afterLines="0" w:line="240" w:lineRule="auto"/>
      <w:ind w:firstLine="200" w:firstLineChars="200"/>
    </w:pPr>
    <w:rPr>
      <w:rFonts w:ascii="Calibri" w:hAnsi="Calibri" w:cs="Calibri"/>
      <w:szCs w:val="21"/>
    </w:rPr>
  </w:style>
  <w:style w:type="paragraph" w:customStyle="1" w:styleId="15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Times New Roman" w:hAnsi="Times New Roman"/>
      <w:kern w:val="0"/>
      <w:sz w:val="24"/>
      <w:szCs w:val="20"/>
    </w:rPr>
  </w:style>
  <w:style w:type="paragraph" w:customStyle="1" w:styleId="160">
    <w:name w:val="font5"/>
    <w:basedOn w:val="1"/>
    <w:qFormat/>
    <w:uiPriority w:val="0"/>
    <w:pPr>
      <w:widowControl/>
      <w:spacing w:before="100" w:beforeAutospacing="1" w:afterLines="0" w:afterAutospacing="1" w:line="240" w:lineRule="auto"/>
      <w:jc w:val="left"/>
    </w:pPr>
    <w:rPr>
      <w:rFonts w:ascii="宋体" w:hAnsi="宋体"/>
      <w:kern w:val="0"/>
      <w:sz w:val="24"/>
      <w:szCs w:val="20"/>
    </w:rPr>
  </w:style>
  <w:style w:type="paragraph" w:customStyle="1" w:styleId="161">
    <w:name w:val="xl63"/>
    <w:basedOn w:val="1"/>
    <w:qFormat/>
    <w:uiPriority w:val="99"/>
    <w:pPr>
      <w:widowControl/>
      <w:pBdr>
        <w:bottom w:val="single" w:color="000000" w:sz="4" w:space="0"/>
      </w:pBdr>
      <w:spacing w:before="100" w:beforeAutospacing="1" w:afterLines="0" w:afterAutospacing="1" w:line="240" w:lineRule="auto"/>
      <w:jc w:val="center"/>
      <w:textAlignment w:val="center"/>
    </w:pPr>
    <w:rPr>
      <w:rFonts w:ascii="宋体" w:hAnsi="宋体"/>
      <w:kern w:val="0"/>
      <w:sz w:val="28"/>
      <w:szCs w:val="28"/>
    </w:rPr>
  </w:style>
  <w:style w:type="paragraph" w:customStyle="1" w:styleId="162">
    <w:name w:val="xl34"/>
    <w:basedOn w:val="1"/>
    <w:qFormat/>
    <w:uiPriority w:val="0"/>
    <w:pPr>
      <w:widowControl/>
      <w:pBdr>
        <w:top w:val="single" w:color="auto" w:sz="4" w:space="0"/>
        <w:left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4"/>
      <w:szCs w:val="20"/>
    </w:rPr>
  </w:style>
  <w:style w:type="paragraph" w:customStyle="1" w:styleId="163">
    <w:name w:val="Char Char Char"/>
    <w:basedOn w:val="1"/>
    <w:qFormat/>
    <w:uiPriority w:val="0"/>
    <w:pPr>
      <w:spacing w:afterLines="0" w:line="240" w:lineRule="auto"/>
    </w:pPr>
  </w:style>
  <w:style w:type="paragraph" w:customStyle="1" w:styleId="164">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黑体" w:hAnsi="宋体" w:eastAsia="黑体"/>
      <w:b/>
      <w:kern w:val="0"/>
      <w:sz w:val="24"/>
      <w:szCs w:val="20"/>
    </w:rPr>
  </w:style>
  <w:style w:type="paragraph" w:customStyle="1" w:styleId="165">
    <w:name w:val="_Style 1"/>
    <w:basedOn w:val="1"/>
    <w:qFormat/>
    <w:uiPriority w:val="99"/>
    <w:pPr>
      <w:widowControl/>
      <w:spacing w:afterLines="0" w:line="240" w:lineRule="exact"/>
      <w:jc w:val="left"/>
    </w:pPr>
  </w:style>
  <w:style w:type="paragraph" w:customStyle="1" w:styleId="166">
    <w:name w:val="二级无"/>
    <w:basedOn w:val="1"/>
    <w:qFormat/>
    <w:uiPriority w:val="99"/>
    <w:pPr>
      <w:widowControl/>
      <w:spacing w:before="50" w:afterLines="0" w:line="240" w:lineRule="auto"/>
      <w:ind w:left="624"/>
      <w:jc w:val="left"/>
      <w:outlineLvl w:val="3"/>
    </w:pPr>
    <w:rPr>
      <w:rFonts w:ascii="宋体" w:hAnsi="Times New Roman"/>
      <w:kern w:val="0"/>
      <w:szCs w:val="21"/>
    </w:rPr>
  </w:style>
  <w:style w:type="paragraph" w:customStyle="1" w:styleId="167">
    <w:name w:val="12册标题"/>
    <w:basedOn w:val="1"/>
    <w:next w:val="1"/>
    <w:qFormat/>
    <w:uiPriority w:val="99"/>
    <w:pPr>
      <w:spacing w:beforeLines="50" w:afterLines="50"/>
      <w:jc w:val="center"/>
      <w:outlineLvl w:val="0"/>
    </w:pPr>
    <w:rPr>
      <w:rFonts w:eastAsia="黑体"/>
      <w:sz w:val="44"/>
      <w:szCs w:val="20"/>
    </w:rPr>
  </w:style>
  <w:style w:type="paragraph" w:customStyle="1" w:styleId="168">
    <w:name w:val="2册标题1"/>
    <w:basedOn w:val="1"/>
    <w:next w:val="1"/>
    <w:qFormat/>
    <w:uiPriority w:val="99"/>
    <w:pPr>
      <w:spacing w:beforeLines="50" w:afterLines="50"/>
      <w:jc w:val="center"/>
      <w:outlineLvl w:val="0"/>
    </w:pPr>
    <w:rPr>
      <w:rFonts w:eastAsia="黑体"/>
      <w:sz w:val="32"/>
      <w:szCs w:val="32"/>
    </w:rPr>
  </w:style>
  <w:style w:type="paragraph" w:customStyle="1" w:styleId="169">
    <w:name w:val="Char1"/>
    <w:basedOn w:val="1"/>
    <w:qFormat/>
    <w:uiPriority w:val="0"/>
    <w:pPr>
      <w:widowControl/>
      <w:spacing w:afterLines="0" w:line="240" w:lineRule="exact"/>
      <w:jc w:val="left"/>
    </w:pPr>
    <w:rPr>
      <w:rFonts w:ascii="Verdana" w:hAnsi="Verdana" w:eastAsia="仿宋_GB2312"/>
      <w:kern w:val="0"/>
      <w:sz w:val="24"/>
      <w:szCs w:val="20"/>
      <w:lang w:eastAsia="en-US"/>
    </w:rPr>
  </w:style>
  <w:style w:type="paragraph" w:customStyle="1" w:styleId="170">
    <w:name w:val="列出段落12"/>
    <w:basedOn w:val="1"/>
    <w:qFormat/>
    <w:uiPriority w:val="99"/>
    <w:pPr>
      <w:spacing w:afterLines="0" w:line="240" w:lineRule="auto"/>
      <w:ind w:firstLine="200" w:firstLineChars="200"/>
    </w:pPr>
    <w:rPr>
      <w:rFonts w:ascii="Calibri" w:hAnsi="Calibri"/>
      <w:szCs w:val="22"/>
    </w:rPr>
  </w:style>
  <w:style w:type="paragraph" w:customStyle="1" w:styleId="171">
    <w:name w:val="列出段落21"/>
    <w:basedOn w:val="1"/>
    <w:qFormat/>
    <w:uiPriority w:val="99"/>
    <w:pPr>
      <w:ind w:firstLine="420" w:firstLineChars="200"/>
    </w:pPr>
    <w:rPr>
      <w:szCs w:val="20"/>
    </w:rPr>
  </w:style>
  <w:style w:type="paragraph" w:customStyle="1" w:styleId="172">
    <w:name w:val="xl35"/>
    <w:basedOn w:val="1"/>
    <w:qFormat/>
    <w:uiPriority w:val="99"/>
    <w:pPr>
      <w:widowControl/>
      <w:pBdr>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kern w:val="0"/>
      <w:sz w:val="24"/>
      <w:szCs w:val="20"/>
    </w:rPr>
  </w:style>
  <w:style w:type="paragraph" w:customStyle="1" w:styleId="173">
    <w:name w:val="Char5 Char Char Char Char Char Char1"/>
    <w:basedOn w:val="1"/>
    <w:qFormat/>
    <w:uiPriority w:val="99"/>
    <w:pPr>
      <w:widowControl/>
      <w:spacing w:afterLines="0" w:line="240" w:lineRule="exact"/>
      <w:jc w:val="left"/>
    </w:pPr>
    <w:rPr>
      <w:rFonts w:ascii="Verdana" w:hAnsi="Verdana" w:eastAsia="仿宋_GB2312"/>
      <w:kern w:val="0"/>
      <w:sz w:val="24"/>
      <w:szCs w:val="20"/>
      <w:lang w:eastAsia="en-US"/>
    </w:rPr>
  </w:style>
  <w:style w:type="paragraph" w:customStyle="1" w:styleId="174">
    <w:name w:val="2册标题2"/>
    <w:basedOn w:val="1"/>
    <w:next w:val="1"/>
    <w:qFormat/>
    <w:uiPriority w:val="99"/>
    <w:pPr>
      <w:spacing w:beforeLines="50" w:afterLines="50"/>
      <w:outlineLvl w:val="1"/>
    </w:pPr>
    <w:rPr>
      <w:rFonts w:eastAsia="黑体"/>
      <w:sz w:val="30"/>
      <w:szCs w:val="30"/>
    </w:rPr>
  </w:style>
  <w:style w:type="paragraph" w:customStyle="1" w:styleId="175">
    <w:name w:val="文档正文"/>
    <w:basedOn w:val="1"/>
    <w:qFormat/>
    <w:uiPriority w:val="99"/>
    <w:pPr>
      <w:spacing w:afterLines="0" w:line="360" w:lineRule="auto"/>
    </w:pPr>
    <w:rPr>
      <w:rFonts w:cs="Arial"/>
      <w:bCs/>
    </w:rPr>
  </w:style>
  <w:style w:type="paragraph" w:customStyle="1" w:styleId="176">
    <w:name w:val="Char Char Char Char1"/>
    <w:basedOn w:val="1"/>
    <w:qFormat/>
    <w:uiPriority w:val="0"/>
    <w:pPr>
      <w:widowControl/>
      <w:spacing w:line="240" w:lineRule="exact"/>
      <w:jc w:val="left"/>
    </w:pPr>
    <w:rPr>
      <w:rFonts w:ascii="Verdana" w:hAnsi="Verdana" w:eastAsia="仿宋_GB2312"/>
      <w:kern w:val="0"/>
      <w:sz w:val="24"/>
      <w:szCs w:val="20"/>
      <w:lang w:eastAsia="en-US"/>
    </w:rPr>
  </w:style>
  <w:style w:type="character" w:customStyle="1" w:styleId="177">
    <w:name w:val="批注主题 Char"/>
    <w:basedOn w:val="94"/>
    <w:link w:val="42"/>
    <w:qFormat/>
    <w:uiPriority w:val="0"/>
    <w:rPr>
      <w:rFonts w:ascii="Arial" w:hAnsi="Arial" w:eastAsia="宋体" w:cs="Times New Roman"/>
      <w:b/>
      <w:bCs/>
      <w:sz w:val="24"/>
      <w:szCs w:val="24"/>
    </w:rPr>
  </w:style>
  <w:style w:type="character" w:customStyle="1" w:styleId="178">
    <w:name w:val="正文缩进 Char1"/>
    <w:qFormat/>
    <w:uiPriority w:val="0"/>
    <w:rPr>
      <w:rFonts w:eastAsia="宋体"/>
      <w:kern w:val="2"/>
      <w:sz w:val="21"/>
      <w:lang w:val="en-US" w:eastAsia="zh-CN" w:bidi="ar-SA"/>
    </w:rPr>
  </w:style>
  <w:style w:type="character" w:customStyle="1" w:styleId="179">
    <w:name w:val="标题 Char Char"/>
    <w:qFormat/>
    <w:uiPriority w:val="0"/>
    <w:rPr>
      <w:rFonts w:ascii="Arial" w:hAnsi="Arial" w:eastAsia="隶书" w:cs="Arial"/>
      <w:b/>
      <w:bCs/>
      <w:sz w:val="32"/>
      <w:szCs w:val="32"/>
    </w:rPr>
  </w:style>
  <w:style w:type="paragraph" w:styleId="180">
    <w:name w:val="List Paragraph"/>
    <w:basedOn w:val="1"/>
    <w:link w:val="286"/>
    <w:qFormat/>
    <w:uiPriority w:val="34"/>
    <w:pPr>
      <w:spacing w:afterLines="0" w:line="240" w:lineRule="auto"/>
      <w:ind w:firstLine="420" w:firstLineChars="200"/>
    </w:pPr>
    <w:rPr>
      <w:rFonts w:ascii="Calibri" w:hAnsi="Calibri"/>
      <w:szCs w:val="22"/>
    </w:rPr>
  </w:style>
  <w:style w:type="character" w:customStyle="1" w:styleId="181">
    <w:name w:val="标题 6 Char"/>
    <w:basedOn w:val="48"/>
    <w:link w:val="7"/>
    <w:qFormat/>
    <w:uiPriority w:val="0"/>
    <w:rPr>
      <w:rFonts w:ascii="Arial" w:hAnsi="Arial" w:eastAsia="黑体" w:cs="Times New Roman"/>
      <w:b/>
      <w:sz w:val="24"/>
      <w:szCs w:val="20"/>
    </w:rPr>
  </w:style>
  <w:style w:type="character" w:customStyle="1" w:styleId="182">
    <w:name w:val="标题 3 Char1"/>
    <w:qFormat/>
    <w:uiPriority w:val="0"/>
    <w:rPr>
      <w:rFonts w:ascii="宋体" w:hAnsi="宋体" w:eastAsia="宋体"/>
      <w:b/>
      <w:bCs/>
      <w:kern w:val="2"/>
      <w:sz w:val="28"/>
      <w:szCs w:val="32"/>
      <w:lang w:val="en-US" w:eastAsia="zh-CN" w:bidi="ar-SA"/>
    </w:rPr>
  </w:style>
  <w:style w:type="paragraph" w:customStyle="1" w:styleId="183">
    <w:name w:val="样式41"/>
    <w:basedOn w:val="1"/>
    <w:qFormat/>
    <w:uiPriority w:val="0"/>
    <w:pPr>
      <w:numPr>
        <w:ilvl w:val="0"/>
        <w:numId w:val="2"/>
      </w:numPr>
      <w:tabs>
        <w:tab w:val="left" w:pos="945"/>
      </w:tabs>
      <w:spacing w:afterLines="0" w:line="360" w:lineRule="auto"/>
    </w:pPr>
    <w:rPr>
      <w:rFonts w:ascii="Times New Roman" w:hAnsi="Times New Roman"/>
      <w:b/>
      <w:color w:val="000000"/>
      <w:sz w:val="24"/>
      <w:szCs w:val="20"/>
    </w:rPr>
  </w:style>
  <w:style w:type="paragraph" w:customStyle="1" w:styleId="184">
    <w:name w:val="Table Contents"/>
    <w:basedOn w:val="1"/>
    <w:qFormat/>
    <w:uiPriority w:val="0"/>
    <w:pPr>
      <w:suppressAutoHyphens/>
      <w:autoSpaceDE w:val="0"/>
      <w:spacing w:afterLines="0" w:line="240" w:lineRule="auto"/>
      <w:jc w:val="left"/>
    </w:pPr>
    <w:rPr>
      <w:rFonts w:ascii="Helvetica" w:hAnsi="Helvetica"/>
      <w:kern w:val="1"/>
      <w:sz w:val="20"/>
      <w:szCs w:val="20"/>
    </w:rPr>
  </w:style>
  <w:style w:type="paragraph" w:customStyle="1" w:styleId="185">
    <w:name w:val="自定义正文"/>
    <w:basedOn w:val="1"/>
    <w:qFormat/>
    <w:uiPriority w:val="0"/>
    <w:pPr>
      <w:spacing w:afterLines="50" w:line="240" w:lineRule="auto"/>
      <w:ind w:left="600" w:leftChars="600"/>
    </w:pPr>
    <w:rPr>
      <w:rFonts w:ascii="Times New Roman" w:hAnsi="Times New Roman"/>
    </w:rPr>
  </w:style>
  <w:style w:type="paragraph" w:customStyle="1" w:styleId="186">
    <w:name w:val="Char Char Char Char Char"/>
    <w:basedOn w:val="1"/>
    <w:qFormat/>
    <w:uiPriority w:val="0"/>
    <w:pPr>
      <w:spacing w:afterLines="0" w:line="240" w:lineRule="auto"/>
    </w:pPr>
    <w:rPr>
      <w:rFonts w:ascii="Tahoma" w:hAnsi="Tahoma"/>
      <w:sz w:val="24"/>
      <w:szCs w:val="20"/>
    </w:rPr>
  </w:style>
  <w:style w:type="paragraph" w:customStyle="1" w:styleId="187">
    <w:name w:val="小标题 1"/>
    <w:basedOn w:val="1"/>
    <w:qFormat/>
    <w:uiPriority w:val="0"/>
    <w:pPr>
      <w:autoSpaceDE w:val="0"/>
      <w:autoSpaceDN w:val="0"/>
      <w:adjustRightInd w:val="0"/>
      <w:spacing w:afterLines="0" w:line="360" w:lineRule="atLeast"/>
    </w:pPr>
    <w:rPr>
      <w:rFonts w:ascii="文鼎粗黑" w:hAnsi="Times New Roman" w:eastAsia="文鼎粗黑"/>
      <w:kern w:val="0"/>
      <w:sz w:val="22"/>
      <w:szCs w:val="20"/>
    </w:rPr>
  </w:style>
  <w:style w:type="paragraph" w:customStyle="1" w:styleId="188">
    <w:name w:val="Char Char"/>
    <w:basedOn w:val="1"/>
    <w:qFormat/>
    <w:uiPriority w:val="0"/>
    <w:pPr>
      <w:spacing w:afterLines="0" w:line="240" w:lineRule="auto"/>
    </w:pPr>
    <w:rPr>
      <w:rFonts w:ascii="Tahoma" w:hAnsi="Tahoma"/>
      <w:sz w:val="24"/>
      <w:szCs w:val="20"/>
    </w:rPr>
  </w:style>
  <w:style w:type="paragraph" w:customStyle="1" w:styleId="189">
    <w:name w:val="È±Ê¡ÎÄ±¾"/>
    <w:basedOn w:val="1"/>
    <w:qFormat/>
    <w:uiPriority w:val="0"/>
    <w:pPr>
      <w:widowControl/>
      <w:overflowPunct w:val="0"/>
      <w:autoSpaceDE w:val="0"/>
      <w:autoSpaceDN w:val="0"/>
      <w:adjustRightInd w:val="0"/>
      <w:spacing w:afterLines="0" w:line="240" w:lineRule="auto"/>
      <w:jc w:val="left"/>
      <w:textAlignment w:val="baseline"/>
    </w:pPr>
    <w:rPr>
      <w:rFonts w:ascii="Times New Roman" w:hAnsi="Times New Roman"/>
      <w:kern w:val="0"/>
      <w:sz w:val="24"/>
      <w:szCs w:val="20"/>
    </w:rPr>
  </w:style>
  <w:style w:type="paragraph" w:customStyle="1" w:styleId="190">
    <w:name w:val="Char Char Char Char Char Char1 Char"/>
    <w:basedOn w:val="1"/>
    <w:qFormat/>
    <w:uiPriority w:val="0"/>
    <w:pPr>
      <w:widowControl/>
      <w:spacing w:afterLines="0" w:line="240" w:lineRule="exact"/>
      <w:jc w:val="left"/>
    </w:pPr>
    <w:rPr>
      <w:rFonts w:ascii="Verdana" w:hAnsi="Verdana"/>
      <w:kern w:val="0"/>
      <w:szCs w:val="20"/>
      <w:lang w:eastAsia="en-US"/>
    </w:rPr>
  </w:style>
  <w:style w:type="paragraph" w:customStyle="1" w:styleId="191">
    <w:name w:val="USE 1"/>
    <w:basedOn w:val="1"/>
    <w:qFormat/>
    <w:uiPriority w:val="0"/>
    <w:pPr>
      <w:spacing w:afterLines="0" w:line="200" w:lineRule="atLeast"/>
      <w:jc w:val="left"/>
    </w:pPr>
    <w:rPr>
      <w:rFonts w:ascii="宋体" w:hAnsi="宋体"/>
      <w:b/>
      <w:sz w:val="24"/>
      <w:szCs w:val="28"/>
    </w:rPr>
  </w:style>
  <w:style w:type="paragraph" w:customStyle="1" w:styleId="192">
    <w:name w:val="RFI text from 3rd Level"/>
    <w:basedOn w:val="1"/>
    <w:qFormat/>
    <w:uiPriority w:val="0"/>
    <w:pPr>
      <w:widowControl/>
      <w:numPr>
        <w:ilvl w:val="0"/>
        <w:numId w:val="3"/>
      </w:numPr>
      <w:tabs>
        <w:tab w:val="left" w:pos="1080"/>
        <w:tab w:val="clear" w:pos="840"/>
      </w:tabs>
      <w:spacing w:beforeLines="50" w:afterLines="0" w:line="360" w:lineRule="auto"/>
      <w:ind w:left="0" w:firstLine="0"/>
    </w:pPr>
    <w:rPr>
      <w:rFonts w:ascii="Arial (W1)" w:hAnsi="Arial (W1)"/>
      <w:bCs/>
      <w:kern w:val="0"/>
      <w:sz w:val="24"/>
      <w:lang w:val="en-GB"/>
    </w:rPr>
  </w:style>
  <w:style w:type="paragraph" w:customStyle="1" w:styleId="193">
    <w:name w:val="正文文字缩进项目"/>
    <w:basedOn w:val="19"/>
    <w:qFormat/>
    <w:uiPriority w:val="0"/>
    <w:pPr>
      <w:numPr>
        <w:ilvl w:val="1"/>
        <w:numId w:val="3"/>
      </w:numPr>
      <w:tabs>
        <w:tab w:val="left" w:pos="840"/>
        <w:tab w:val="clear" w:pos="1260"/>
      </w:tabs>
      <w:spacing w:after="120" w:line="240" w:lineRule="auto"/>
      <w:ind w:left="840" w:leftChars="0" w:firstLine="0"/>
    </w:pPr>
    <w:rPr>
      <w:rFonts w:ascii="Tahoma" w:hAnsi="Tahoma" w:eastAsia="宋体" w:cs="Times New Roman"/>
      <w:sz w:val="22"/>
      <w:szCs w:val="20"/>
    </w:rPr>
  </w:style>
  <w:style w:type="paragraph" w:customStyle="1" w:styleId="194">
    <w:name w:val="样式 标题 2 + 段前: 13 磅 段后: 13 磅 行距: 单倍行距"/>
    <w:basedOn w:val="3"/>
    <w:qFormat/>
    <w:uiPriority w:val="0"/>
    <w:pPr>
      <w:spacing w:before="0" w:afterLines="0" w:line="240" w:lineRule="auto"/>
    </w:pPr>
    <w:rPr>
      <w:rFonts w:ascii="Cambria" w:hAnsi="Cambria" w:eastAsia="宋体" w:cs="宋体"/>
      <w:kern w:val="2"/>
      <w:szCs w:val="20"/>
    </w:rPr>
  </w:style>
  <w:style w:type="character" w:customStyle="1" w:styleId="195">
    <w:name w:val="H4 Char2"/>
    <w:qFormat/>
    <w:uiPriority w:val="0"/>
    <w:rPr>
      <w:rFonts w:ascii="Arial" w:hAnsi="Arial" w:eastAsia="黑体"/>
      <w:b/>
      <w:bCs/>
      <w:kern w:val="2"/>
      <w:sz w:val="28"/>
      <w:szCs w:val="28"/>
      <w:lang w:val="en-US" w:eastAsia="zh-CN" w:bidi="ar-SA"/>
    </w:rPr>
  </w:style>
  <w:style w:type="character" w:customStyle="1" w:styleId="196">
    <w:name w:val="第*章 Char"/>
    <w:qFormat/>
    <w:uiPriority w:val="0"/>
    <w:rPr>
      <w:rFonts w:ascii="Arial" w:hAnsi="Arial" w:eastAsia="黑体"/>
      <w:b/>
      <w:bCs/>
      <w:kern w:val="2"/>
      <w:sz w:val="32"/>
      <w:szCs w:val="32"/>
    </w:rPr>
  </w:style>
  <w:style w:type="character" w:customStyle="1" w:styleId="197">
    <w:name w:val="章标题1 Char"/>
    <w:qFormat/>
    <w:uiPriority w:val="0"/>
    <w:rPr>
      <w:rFonts w:eastAsia="宋体"/>
      <w:b/>
      <w:bCs/>
      <w:kern w:val="2"/>
      <w:sz w:val="32"/>
      <w:szCs w:val="32"/>
      <w:lang w:val="en-US" w:eastAsia="zh-CN" w:bidi="ar-SA"/>
    </w:rPr>
  </w:style>
  <w:style w:type="character" w:customStyle="1" w:styleId="198">
    <w:name w:val="正文文字首行缩进 Char"/>
    <w:qFormat/>
    <w:uiPriority w:val="0"/>
    <w:rPr>
      <w:kern w:val="2"/>
      <w:sz w:val="21"/>
      <w:szCs w:val="24"/>
    </w:rPr>
  </w:style>
  <w:style w:type="paragraph" w:customStyle="1" w:styleId="199">
    <w:name w:val="Char Char Char Char Char Char1 Char Char Char Char Char Char Char Char Char Char Char Char Char"/>
    <w:basedOn w:val="1"/>
    <w:qFormat/>
    <w:uiPriority w:val="0"/>
    <w:pPr>
      <w:widowControl/>
      <w:spacing w:afterLines="0" w:line="240" w:lineRule="exact"/>
      <w:jc w:val="left"/>
    </w:pPr>
    <w:rPr>
      <w:rFonts w:eastAsia="Times New Roman" w:cs="Verdana"/>
      <w:b/>
      <w:kern w:val="0"/>
      <w:sz w:val="24"/>
      <w:lang w:eastAsia="en-US"/>
    </w:rPr>
  </w:style>
  <w:style w:type="paragraph" w:customStyle="1" w:styleId="200">
    <w:name w:val="cont"/>
    <w:basedOn w:val="1"/>
    <w:qFormat/>
    <w:uiPriority w:val="0"/>
    <w:pPr>
      <w:adjustRightInd w:val="0"/>
      <w:spacing w:before="100" w:afterLines="0" w:line="360" w:lineRule="auto"/>
      <w:ind w:firstLine="200" w:firstLineChars="200"/>
      <w:jc w:val="left"/>
      <w:textAlignment w:val="baseline"/>
    </w:pPr>
    <w:rPr>
      <w:kern w:val="0"/>
      <w:sz w:val="24"/>
      <w:szCs w:val="20"/>
    </w:rPr>
  </w:style>
  <w:style w:type="paragraph" w:customStyle="1" w:styleId="201">
    <w:name w:val="--规划正文"/>
    <w:basedOn w:val="1"/>
    <w:qFormat/>
    <w:uiPriority w:val="0"/>
    <w:pPr>
      <w:spacing w:afterLines="0" w:line="360" w:lineRule="auto"/>
      <w:ind w:firstLine="200" w:firstLineChars="200"/>
    </w:pPr>
    <w:rPr>
      <w:rFonts w:ascii="Times New Roman" w:hAnsi="Times New Roman"/>
      <w:szCs w:val="20"/>
    </w:rPr>
  </w:style>
  <w:style w:type="paragraph" w:customStyle="1" w:styleId="202">
    <w:name w:val="设计依据"/>
    <w:basedOn w:val="18"/>
    <w:qFormat/>
    <w:uiPriority w:val="0"/>
    <w:pPr>
      <w:numPr>
        <w:ilvl w:val="1"/>
        <w:numId w:val="4"/>
      </w:numPr>
      <w:tabs>
        <w:tab w:val="left" w:pos="1440"/>
        <w:tab w:val="clear" w:pos="840"/>
        <w:tab w:val="clear" w:pos="4760"/>
      </w:tabs>
      <w:adjustRightInd w:val="0"/>
      <w:spacing w:line="360" w:lineRule="auto"/>
      <w:ind w:left="1440"/>
      <w:jc w:val="both"/>
      <w:textAlignment w:val="baseline"/>
    </w:pPr>
    <w:rPr>
      <w:rFonts w:ascii="宋体" w:hAnsi="宋体" w:eastAsia="宋体" w:cs="Times New Roman"/>
      <w:bCs/>
      <w:kern w:val="0"/>
      <w:sz w:val="28"/>
      <w:szCs w:val="18"/>
    </w:rPr>
  </w:style>
  <w:style w:type="paragraph" w:customStyle="1" w:styleId="203">
    <w:name w:val="方案要点"/>
    <w:basedOn w:val="1"/>
    <w:qFormat/>
    <w:uiPriority w:val="0"/>
    <w:pPr>
      <w:numPr>
        <w:ilvl w:val="0"/>
        <w:numId w:val="4"/>
      </w:numPr>
      <w:spacing w:afterLines="0" w:line="360" w:lineRule="auto"/>
    </w:pPr>
    <w:rPr>
      <w:rFonts w:ascii="仿宋_GB2312" w:hAnsi="宋体" w:eastAsia="仿宋_GB2312"/>
      <w:color w:val="000000"/>
      <w:sz w:val="28"/>
      <w:szCs w:val="28"/>
    </w:rPr>
  </w:style>
  <w:style w:type="paragraph" w:customStyle="1" w:styleId="204">
    <w:name w:val="样式4"/>
    <w:basedOn w:val="1"/>
    <w:qFormat/>
    <w:uiPriority w:val="0"/>
    <w:pPr>
      <w:tabs>
        <w:tab w:val="left" w:pos="842"/>
      </w:tabs>
      <w:spacing w:afterLines="0" w:line="360" w:lineRule="auto"/>
      <w:ind w:left="842" w:hanging="420"/>
    </w:pPr>
    <w:rPr>
      <w:rFonts w:ascii="Times New Roman" w:hAnsi="Times New Roman"/>
      <w:sz w:val="24"/>
    </w:rPr>
  </w:style>
  <w:style w:type="paragraph" w:customStyle="1" w:styleId="205">
    <w:name w:val="文字"/>
    <w:basedOn w:val="1"/>
    <w:qFormat/>
    <w:uiPriority w:val="0"/>
    <w:pPr>
      <w:tabs>
        <w:tab w:val="left" w:pos="8520"/>
      </w:tabs>
      <w:spacing w:afterLines="0" w:line="312" w:lineRule="auto"/>
      <w:ind w:right="-210" w:firstLine="556"/>
    </w:pPr>
    <w:rPr>
      <w:rFonts w:ascii="宋体" w:hAnsi="Times New Roman"/>
      <w:sz w:val="28"/>
      <w:szCs w:val="20"/>
    </w:rPr>
  </w:style>
  <w:style w:type="paragraph" w:customStyle="1" w:styleId="206">
    <w:name w:val="--规划-表格-居左"/>
    <w:basedOn w:val="201"/>
    <w:qFormat/>
    <w:uiPriority w:val="0"/>
    <w:pPr>
      <w:spacing w:line="240" w:lineRule="auto"/>
      <w:ind w:firstLine="0" w:firstLineChars="0"/>
    </w:pPr>
    <w:rPr>
      <w:sz w:val="20"/>
    </w:rPr>
  </w:style>
  <w:style w:type="paragraph" w:customStyle="1" w:styleId="207">
    <w:name w:val="--规划-表格-居中"/>
    <w:basedOn w:val="201"/>
    <w:qFormat/>
    <w:uiPriority w:val="0"/>
    <w:pPr>
      <w:spacing w:line="240" w:lineRule="auto"/>
      <w:ind w:firstLine="0" w:firstLineChars="0"/>
      <w:jc w:val="center"/>
    </w:pPr>
    <w:rPr>
      <w:sz w:val="20"/>
    </w:rPr>
  </w:style>
  <w:style w:type="paragraph" w:customStyle="1" w:styleId="208">
    <w:name w:val="--编号内缩进"/>
    <w:basedOn w:val="1"/>
    <w:qFormat/>
    <w:uiPriority w:val="0"/>
    <w:pPr>
      <w:spacing w:afterLines="0" w:line="360" w:lineRule="auto"/>
      <w:ind w:left="420" w:firstLine="200" w:firstLineChars="200"/>
    </w:pPr>
    <w:rPr>
      <w:rFonts w:ascii="Times New Roman" w:hAnsi="Times New Roman"/>
      <w:szCs w:val="21"/>
    </w:rPr>
  </w:style>
  <w:style w:type="paragraph" w:customStyle="1" w:styleId="209">
    <w:name w:val="--规划-题注"/>
    <w:basedOn w:val="1"/>
    <w:next w:val="201"/>
    <w:qFormat/>
    <w:uiPriority w:val="0"/>
    <w:pPr>
      <w:spacing w:afterLines="0" w:line="360" w:lineRule="auto"/>
      <w:jc w:val="center"/>
    </w:pPr>
    <w:rPr>
      <w:rFonts w:ascii="Times New Roman" w:hAnsi="Times New Roman" w:eastAsia="黑体"/>
    </w:rPr>
  </w:style>
  <w:style w:type="paragraph" w:customStyle="1" w:styleId="210">
    <w:name w:val="--规划-图和表"/>
    <w:next w:val="201"/>
    <w:qFormat/>
    <w:uiPriority w:val="0"/>
    <w:pPr>
      <w:jc w:val="center"/>
    </w:pPr>
    <w:rPr>
      <w:rFonts w:ascii="Times New Roman" w:hAnsi="Times New Roman" w:eastAsia="宋体" w:cs="Times New Roman"/>
      <w:kern w:val="2"/>
      <w:sz w:val="21"/>
      <w:lang w:val="en-US" w:eastAsia="zh-CN" w:bidi="ar-SA"/>
    </w:rPr>
  </w:style>
  <w:style w:type="paragraph" w:customStyle="1" w:styleId="211">
    <w:name w:val="--规划-小标题"/>
    <w:basedOn w:val="1"/>
    <w:next w:val="201"/>
    <w:qFormat/>
    <w:uiPriority w:val="0"/>
    <w:pPr>
      <w:keepNext/>
      <w:keepLines/>
      <w:spacing w:afterLines="0" w:line="360" w:lineRule="auto"/>
      <w:outlineLvl w:val="4"/>
    </w:pPr>
    <w:rPr>
      <w:rFonts w:ascii="Times New Roman" w:hAnsi="Times New Roman" w:eastAsia="黑体"/>
    </w:rPr>
  </w:style>
  <w:style w:type="paragraph" w:customStyle="1" w:styleId="212">
    <w:name w:val="--规划正文 Char"/>
    <w:basedOn w:val="1"/>
    <w:qFormat/>
    <w:uiPriority w:val="0"/>
    <w:pPr>
      <w:spacing w:afterLines="0" w:line="360" w:lineRule="auto"/>
      <w:ind w:firstLine="200" w:firstLineChars="200"/>
    </w:pPr>
    <w:rPr>
      <w:rFonts w:ascii="Times New Roman" w:hAnsi="Times New Roman"/>
      <w:sz w:val="24"/>
    </w:rPr>
  </w:style>
  <w:style w:type="paragraph" w:customStyle="1" w:styleId="213">
    <w:name w:val="缺省文本"/>
    <w:basedOn w:val="1"/>
    <w:qFormat/>
    <w:uiPriority w:val="0"/>
    <w:pPr>
      <w:autoSpaceDE w:val="0"/>
      <w:autoSpaceDN w:val="0"/>
      <w:adjustRightInd w:val="0"/>
      <w:spacing w:afterLines="0" w:line="240" w:lineRule="auto"/>
      <w:jc w:val="left"/>
    </w:pPr>
    <w:rPr>
      <w:rFonts w:ascii="Times New Roman" w:hAnsi="Times New Roman"/>
      <w:kern w:val="0"/>
    </w:rPr>
  </w:style>
  <w:style w:type="paragraph" w:customStyle="1" w:styleId="214">
    <w:name w:val="封面文档标题"/>
    <w:basedOn w:val="1"/>
    <w:qFormat/>
    <w:uiPriority w:val="0"/>
    <w:pPr>
      <w:autoSpaceDE w:val="0"/>
      <w:autoSpaceDN w:val="0"/>
      <w:adjustRightInd w:val="0"/>
      <w:spacing w:afterLines="0" w:line="360" w:lineRule="auto"/>
      <w:jc w:val="center"/>
    </w:pPr>
    <w:rPr>
      <w:b/>
      <w:kern w:val="0"/>
      <w:sz w:val="56"/>
    </w:rPr>
  </w:style>
  <w:style w:type="character" w:customStyle="1" w:styleId="215">
    <w:name w:val="--规划正文 Char Char"/>
    <w:qFormat/>
    <w:uiPriority w:val="0"/>
    <w:rPr>
      <w:rFonts w:eastAsia="宋体"/>
      <w:kern w:val="2"/>
      <w:sz w:val="24"/>
      <w:szCs w:val="24"/>
      <w:lang w:val="en-US" w:eastAsia="zh-CN" w:bidi="ar-SA"/>
    </w:rPr>
  </w:style>
  <w:style w:type="paragraph" w:customStyle="1" w:styleId="216">
    <w:name w:val="样式3"/>
    <w:basedOn w:val="2"/>
    <w:qFormat/>
    <w:uiPriority w:val="0"/>
    <w:pPr>
      <w:numPr>
        <w:ilvl w:val="0"/>
        <w:numId w:val="5"/>
      </w:numPr>
      <w:spacing w:before="240" w:afterLines="0" w:line="480" w:lineRule="auto"/>
      <w:ind w:right="210" w:rightChars="100"/>
      <w:jc w:val="left"/>
    </w:pPr>
    <w:rPr>
      <w:rFonts w:ascii="Times New Roman" w:hAnsi="Times New Roman" w:eastAsia="黑体"/>
      <w:sz w:val="32"/>
    </w:rPr>
  </w:style>
  <w:style w:type="character" w:customStyle="1" w:styleId="217">
    <w:name w:val="--规划正文 Char1"/>
    <w:qFormat/>
    <w:uiPriority w:val="0"/>
    <w:rPr>
      <w:rFonts w:eastAsia="宋体"/>
      <w:kern w:val="2"/>
      <w:sz w:val="21"/>
      <w:lang w:val="en-US" w:eastAsia="zh-CN" w:bidi="ar-SA"/>
    </w:rPr>
  </w:style>
  <w:style w:type="paragraph" w:customStyle="1" w:styleId="218">
    <w:name w:val="word"/>
    <w:basedOn w:val="1"/>
    <w:qFormat/>
    <w:uiPriority w:val="0"/>
    <w:pPr>
      <w:widowControl/>
      <w:spacing w:before="100" w:beforeAutospacing="1" w:afterLines="0" w:afterAutospacing="1" w:line="301" w:lineRule="atLeast"/>
      <w:jc w:val="left"/>
    </w:pPr>
    <w:rPr>
      <w:rFonts w:ascii="ˎ̥" w:hAnsi="ˎ̥"/>
      <w:color w:val="000000"/>
      <w:kern w:val="0"/>
      <w:sz w:val="20"/>
      <w:szCs w:val="20"/>
    </w:rPr>
  </w:style>
  <w:style w:type="paragraph" w:customStyle="1" w:styleId="219">
    <w:name w:val="列表项目"/>
    <w:basedOn w:val="1"/>
    <w:qFormat/>
    <w:uiPriority w:val="0"/>
    <w:pPr>
      <w:tabs>
        <w:tab w:val="left" w:pos="420"/>
        <w:tab w:val="left" w:pos="1080"/>
      </w:tabs>
      <w:spacing w:afterLines="0" w:line="288" w:lineRule="auto"/>
      <w:ind w:left="1080" w:hanging="360"/>
    </w:pPr>
    <w:rPr>
      <w:rFonts w:ascii="Times New Roman" w:hAnsi="Times New Roman"/>
      <w:sz w:val="24"/>
      <w:szCs w:val="20"/>
    </w:rPr>
  </w:style>
  <w:style w:type="character" w:customStyle="1" w:styleId="220">
    <w:name w:val="content1"/>
    <w:qFormat/>
    <w:uiPriority w:val="0"/>
    <w:rPr>
      <w:rFonts w:hint="default" w:ascii="??" w:hAnsi="??"/>
      <w:sz w:val="16"/>
      <w:szCs w:val="16"/>
      <w:u w:val="none"/>
    </w:rPr>
  </w:style>
  <w:style w:type="character" w:customStyle="1" w:styleId="221">
    <w:name w:val="unnamed4"/>
    <w:basedOn w:val="48"/>
    <w:qFormat/>
    <w:uiPriority w:val="0"/>
  </w:style>
  <w:style w:type="character" w:customStyle="1" w:styleId="222">
    <w:name w:val="font2"/>
    <w:basedOn w:val="48"/>
    <w:qFormat/>
    <w:uiPriority w:val="0"/>
  </w:style>
  <w:style w:type="character" w:customStyle="1" w:styleId="223">
    <w:name w:val="font41"/>
    <w:qFormat/>
    <w:uiPriority w:val="0"/>
    <w:rPr>
      <w:color w:val="000000"/>
      <w:spacing w:val="260"/>
      <w:sz w:val="18"/>
      <w:szCs w:val="18"/>
      <w:u w:val="none"/>
    </w:rPr>
  </w:style>
  <w:style w:type="paragraph" w:customStyle="1" w:styleId="22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25">
    <w:name w:val="xl72"/>
    <w:basedOn w:val="1"/>
    <w:qFormat/>
    <w:uiPriority w:val="0"/>
    <w:pPr>
      <w:widowControl/>
      <w:spacing w:before="100" w:beforeAutospacing="1" w:afterLines="0" w:afterAutospacing="1" w:line="240" w:lineRule="auto"/>
      <w:jc w:val="left"/>
    </w:pPr>
    <w:rPr>
      <w:rFonts w:ascii="宋体" w:hAnsi="宋体"/>
      <w:b/>
      <w:bCs/>
      <w:kern w:val="0"/>
      <w:sz w:val="28"/>
      <w:szCs w:val="28"/>
    </w:rPr>
  </w:style>
  <w:style w:type="character" w:customStyle="1" w:styleId="226">
    <w:name w:val="正文首行缩进 Char"/>
    <w:basedOn w:val="93"/>
    <w:link w:val="43"/>
    <w:qFormat/>
    <w:uiPriority w:val="0"/>
    <w:rPr>
      <w:rFonts w:ascii="Times New Roman" w:hAnsi="Times New Roman" w:eastAsia="宋体" w:cs="Times New Roman"/>
      <w:b/>
      <w:bCs/>
      <w:sz w:val="24"/>
      <w:szCs w:val="24"/>
    </w:rPr>
  </w:style>
  <w:style w:type="paragraph" w:customStyle="1" w:styleId="22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2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229">
    <w:name w:val="汉仪细等线简9BOLD"/>
    <w:basedOn w:val="1"/>
    <w:qFormat/>
    <w:uiPriority w:val="0"/>
    <w:pPr>
      <w:autoSpaceDE w:val="0"/>
      <w:autoSpaceDN w:val="0"/>
      <w:adjustRightInd w:val="0"/>
      <w:spacing w:afterLines="0" w:line="240" w:lineRule="atLeast"/>
    </w:pPr>
    <w:rPr>
      <w:rFonts w:ascii="汉仪细等线简" w:hAnsi="Times New Roman" w:eastAsia="汉仪细等线简"/>
      <w:b/>
      <w:bCs/>
      <w:kern w:val="0"/>
      <w:sz w:val="18"/>
      <w:szCs w:val="18"/>
    </w:rPr>
  </w:style>
  <w:style w:type="character" w:customStyle="1" w:styleId="230">
    <w:name w:val="mode"/>
    <w:basedOn w:val="48"/>
    <w:qFormat/>
    <w:uiPriority w:val="0"/>
  </w:style>
  <w:style w:type="paragraph" w:customStyle="1" w:styleId="231">
    <w:name w:val="9"/>
    <w:basedOn w:val="1"/>
    <w:next w:val="8"/>
    <w:qFormat/>
    <w:uiPriority w:val="0"/>
    <w:pPr>
      <w:autoSpaceDE w:val="0"/>
      <w:autoSpaceDN w:val="0"/>
      <w:adjustRightInd w:val="0"/>
      <w:spacing w:afterLines="0" w:line="240" w:lineRule="auto"/>
      <w:ind w:firstLine="420"/>
      <w:jc w:val="left"/>
      <w:textAlignment w:val="baseline"/>
    </w:pPr>
    <w:rPr>
      <w:rFonts w:ascii="宋体" w:hAnsi="Times New Roman"/>
      <w:kern w:val="0"/>
      <w:sz w:val="34"/>
      <w:szCs w:val="20"/>
    </w:rPr>
  </w:style>
  <w:style w:type="character" w:customStyle="1" w:styleId="232">
    <w:name w:val="unnamed3"/>
    <w:basedOn w:val="48"/>
    <w:qFormat/>
    <w:uiPriority w:val="0"/>
  </w:style>
  <w:style w:type="paragraph" w:customStyle="1" w:styleId="233">
    <w:name w:val="8"/>
    <w:basedOn w:val="1"/>
    <w:next w:val="19"/>
    <w:qFormat/>
    <w:uiPriority w:val="0"/>
    <w:pPr>
      <w:spacing w:afterLines="0" w:line="240" w:lineRule="auto"/>
      <w:ind w:left="420" w:leftChars="200"/>
    </w:pPr>
    <w:rPr>
      <w:rFonts w:ascii="Times New Roman" w:hAnsi="Times New Roman"/>
    </w:rPr>
  </w:style>
  <w:style w:type="paragraph" w:customStyle="1" w:styleId="234">
    <w:name w:val="7"/>
    <w:basedOn w:val="1"/>
    <w:qFormat/>
    <w:uiPriority w:val="0"/>
    <w:pPr>
      <w:autoSpaceDE w:val="0"/>
      <w:autoSpaceDN w:val="0"/>
      <w:adjustRightInd w:val="0"/>
      <w:spacing w:afterLines="0" w:line="270" w:lineRule="atLeast"/>
      <w:jc w:val="left"/>
    </w:pPr>
    <w:rPr>
      <w:rFonts w:ascii="宋体" w:hAnsi="Times New Roman"/>
      <w:kern w:val="0"/>
      <w:sz w:val="18"/>
      <w:szCs w:val="18"/>
    </w:rPr>
  </w:style>
  <w:style w:type="paragraph" w:customStyle="1" w:styleId="235">
    <w:name w:val="00"/>
    <w:basedOn w:val="1"/>
    <w:qFormat/>
    <w:uiPriority w:val="0"/>
    <w:pPr>
      <w:autoSpaceDE w:val="0"/>
      <w:autoSpaceDN w:val="0"/>
      <w:adjustRightInd w:val="0"/>
      <w:spacing w:afterLines="0" w:line="240" w:lineRule="auto"/>
      <w:jc w:val="left"/>
    </w:pPr>
    <w:rPr>
      <w:rFonts w:ascii="黑体" w:hAnsi="Times New Roman" w:eastAsia="黑体"/>
      <w:b/>
      <w:bCs/>
      <w:kern w:val="0"/>
      <w:sz w:val="20"/>
      <w:szCs w:val="20"/>
    </w:rPr>
  </w:style>
  <w:style w:type="paragraph" w:customStyle="1" w:styleId="236">
    <w:name w:val="5"/>
    <w:basedOn w:val="1"/>
    <w:qFormat/>
    <w:uiPriority w:val="0"/>
    <w:pPr>
      <w:autoSpaceDE w:val="0"/>
      <w:autoSpaceDN w:val="0"/>
      <w:adjustRightInd w:val="0"/>
      <w:spacing w:afterLines="0" w:line="240" w:lineRule="auto"/>
      <w:jc w:val="left"/>
    </w:pPr>
    <w:rPr>
      <w:rFonts w:ascii="宋体" w:hAnsi="Times New Roman"/>
      <w:b/>
      <w:bCs/>
      <w:kern w:val="0"/>
      <w:sz w:val="18"/>
      <w:szCs w:val="18"/>
    </w:rPr>
  </w:style>
  <w:style w:type="paragraph" w:customStyle="1" w:styleId="237">
    <w:name w:val="6"/>
    <w:basedOn w:val="236"/>
    <w:qFormat/>
    <w:uiPriority w:val="0"/>
    <w:pPr>
      <w:spacing w:line="270" w:lineRule="atLeast"/>
      <w:jc w:val="both"/>
    </w:pPr>
    <w:rPr>
      <w:b w:val="0"/>
      <w:bCs w:val="0"/>
    </w:rPr>
  </w:style>
  <w:style w:type="paragraph" w:customStyle="1" w:styleId="23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39">
    <w:name w:val="姜文清定义的正文"/>
    <w:basedOn w:val="1"/>
    <w:qFormat/>
    <w:uiPriority w:val="0"/>
    <w:pPr>
      <w:spacing w:afterLines="0" w:line="240" w:lineRule="atLeast"/>
      <w:ind w:firstLine="567"/>
    </w:pPr>
    <w:rPr>
      <w:rFonts w:ascii="Times New Roman" w:hAnsi="Times New Roman"/>
      <w:szCs w:val="20"/>
    </w:rPr>
  </w:style>
  <w:style w:type="paragraph" w:customStyle="1" w:styleId="240">
    <w:name w:val="CM2"/>
    <w:basedOn w:val="67"/>
    <w:next w:val="67"/>
    <w:qFormat/>
    <w:uiPriority w:val="0"/>
    <w:pPr>
      <w:spacing w:line="200" w:lineRule="atLeast"/>
    </w:pPr>
    <w:rPr>
      <w:rFonts w:ascii="Arial" w:hAnsi="Arial" w:eastAsia="宋体" w:cs="Times New Roman"/>
      <w:color w:val="auto"/>
      <w:kern w:val="0"/>
      <w:szCs w:val="24"/>
    </w:rPr>
  </w:style>
  <w:style w:type="paragraph" w:customStyle="1" w:styleId="241">
    <w:name w:val="Normal Paragraph"/>
    <w:basedOn w:val="1"/>
    <w:qFormat/>
    <w:uiPriority w:val="0"/>
    <w:pPr>
      <w:widowControl/>
      <w:spacing w:before="120" w:afterLines="0" w:line="360" w:lineRule="auto"/>
      <w:ind w:firstLine="425"/>
    </w:pPr>
    <w:rPr>
      <w:rFonts w:ascii="Times New Roman" w:hAnsi="Times New Roman"/>
      <w:kern w:val="0"/>
      <w:sz w:val="24"/>
    </w:rPr>
  </w:style>
  <w:style w:type="character" w:customStyle="1" w:styleId="242">
    <w:name w:val="blue"/>
    <w:basedOn w:val="48"/>
    <w:qFormat/>
    <w:uiPriority w:val="0"/>
  </w:style>
  <w:style w:type="paragraph" w:customStyle="1" w:styleId="243">
    <w:name w:val="blue1"/>
    <w:basedOn w:val="1"/>
    <w:qFormat/>
    <w:uiPriority w:val="0"/>
    <w:pPr>
      <w:widowControl/>
      <w:spacing w:before="100" w:beforeAutospacing="1" w:afterLines="0" w:afterAutospacing="1" w:line="240" w:lineRule="auto"/>
      <w:jc w:val="left"/>
    </w:pPr>
    <w:rPr>
      <w:rFonts w:ascii="宋体" w:hAnsi="宋体" w:cs="宋体"/>
      <w:kern w:val="0"/>
      <w:sz w:val="24"/>
    </w:rPr>
  </w:style>
  <w:style w:type="character" w:customStyle="1" w:styleId="244">
    <w:name w:val="font"/>
    <w:basedOn w:val="48"/>
    <w:qFormat/>
    <w:uiPriority w:val="0"/>
  </w:style>
  <w:style w:type="character" w:customStyle="1" w:styleId="245">
    <w:name w:val="font11"/>
    <w:qFormat/>
    <w:uiPriority w:val="0"/>
    <w:rPr>
      <w:rFonts w:hint="default" w:ascii="ˎ̥" w:hAnsi="ˎ̥"/>
    </w:rPr>
  </w:style>
  <w:style w:type="paragraph" w:customStyle="1" w:styleId="246">
    <w:name w:val="a14"/>
    <w:basedOn w:val="1"/>
    <w:qFormat/>
    <w:uiPriority w:val="0"/>
    <w:pPr>
      <w:widowControl/>
      <w:spacing w:before="100" w:beforeAutospacing="1" w:afterLines="0" w:afterAutospacing="1" w:line="300" w:lineRule="atLeast"/>
      <w:ind w:firstLine="375"/>
      <w:jc w:val="left"/>
    </w:pPr>
    <w:rPr>
      <w:rFonts w:ascii="宋体" w:hAnsi="宋体" w:cs="宋体"/>
      <w:kern w:val="0"/>
      <w:szCs w:val="21"/>
    </w:rPr>
  </w:style>
  <w:style w:type="character" w:customStyle="1" w:styleId="247">
    <w:name w:val="proddescription"/>
    <w:basedOn w:val="48"/>
    <w:qFormat/>
    <w:uiPriority w:val="0"/>
  </w:style>
  <w:style w:type="character" w:customStyle="1" w:styleId="248">
    <w:name w:val="prodheadlines"/>
    <w:basedOn w:val="48"/>
    <w:qFormat/>
    <w:uiPriority w:val="0"/>
  </w:style>
  <w:style w:type="character" w:customStyle="1" w:styleId="249">
    <w:name w:val="text"/>
    <w:basedOn w:val="48"/>
    <w:qFormat/>
    <w:uiPriority w:val="0"/>
  </w:style>
  <w:style w:type="paragraph" w:customStyle="1" w:styleId="250">
    <w:name w:val="text1"/>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251">
    <w:name w:val="z-窗体顶端1"/>
    <w:basedOn w:val="1"/>
    <w:next w:val="1"/>
    <w:link w:val="252"/>
    <w:qFormat/>
    <w:uiPriority w:val="0"/>
    <w:pPr>
      <w:widowControl/>
      <w:pBdr>
        <w:bottom w:val="single" w:color="auto" w:sz="6" w:space="1"/>
      </w:pBdr>
      <w:spacing w:afterLines="0" w:line="240" w:lineRule="auto"/>
      <w:jc w:val="center"/>
    </w:pPr>
    <w:rPr>
      <w:rFonts w:cs="Arial"/>
      <w:vanish/>
      <w:kern w:val="0"/>
      <w:sz w:val="16"/>
      <w:szCs w:val="16"/>
    </w:rPr>
  </w:style>
  <w:style w:type="character" w:customStyle="1" w:styleId="252">
    <w:name w:val="z-窗体顶端 Char"/>
    <w:basedOn w:val="48"/>
    <w:link w:val="251"/>
    <w:qFormat/>
    <w:uiPriority w:val="0"/>
    <w:rPr>
      <w:rFonts w:ascii="Arial" w:hAnsi="Arial" w:eastAsia="宋体" w:cs="Arial"/>
      <w:vanish/>
      <w:kern w:val="0"/>
      <w:sz w:val="16"/>
      <w:szCs w:val="16"/>
    </w:rPr>
  </w:style>
  <w:style w:type="paragraph" w:customStyle="1" w:styleId="253">
    <w:name w:val="z-窗体底端1"/>
    <w:basedOn w:val="1"/>
    <w:next w:val="1"/>
    <w:link w:val="254"/>
    <w:qFormat/>
    <w:uiPriority w:val="0"/>
    <w:pPr>
      <w:widowControl/>
      <w:pBdr>
        <w:top w:val="single" w:color="auto" w:sz="6" w:space="1"/>
      </w:pBdr>
      <w:spacing w:afterLines="0" w:line="240" w:lineRule="auto"/>
      <w:jc w:val="center"/>
    </w:pPr>
    <w:rPr>
      <w:rFonts w:cs="Arial"/>
      <w:vanish/>
      <w:kern w:val="0"/>
      <w:sz w:val="16"/>
      <w:szCs w:val="16"/>
    </w:rPr>
  </w:style>
  <w:style w:type="character" w:customStyle="1" w:styleId="254">
    <w:name w:val="z-窗体底端 Char"/>
    <w:basedOn w:val="48"/>
    <w:link w:val="253"/>
    <w:qFormat/>
    <w:uiPriority w:val="0"/>
    <w:rPr>
      <w:rFonts w:ascii="Arial" w:hAnsi="Arial" w:eastAsia="宋体" w:cs="Arial"/>
      <w:vanish/>
      <w:kern w:val="0"/>
      <w:sz w:val="16"/>
      <w:szCs w:val="16"/>
    </w:rPr>
  </w:style>
  <w:style w:type="paragraph" w:customStyle="1" w:styleId="255">
    <w:name w:val="正文样式"/>
    <w:basedOn w:val="1"/>
    <w:qFormat/>
    <w:uiPriority w:val="0"/>
    <w:pPr>
      <w:adjustRightInd w:val="0"/>
      <w:spacing w:afterLines="0" w:line="400" w:lineRule="atLeast"/>
      <w:ind w:firstLine="570" w:firstLineChars="203"/>
      <w:textAlignment w:val="baseline"/>
    </w:pPr>
    <w:rPr>
      <w:rFonts w:ascii="Times New Roman" w:hAnsi="Times New Roman" w:eastAsia="仿宋_GB2312"/>
      <w:kern w:val="0"/>
      <w:sz w:val="28"/>
      <w:szCs w:val="20"/>
    </w:rPr>
  </w:style>
  <w:style w:type="paragraph" w:customStyle="1" w:styleId="256">
    <w:name w:val="段落正文"/>
    <w:basedOn w:val="23"/>
    <w:qFormat/>
    <w:uiPriority w:val="0"/>
    <w:pPr>
      <w:ind w:firstLine="560" w:firstLineChars="200"/>
    </w:pPr>
    <w:rPr>
      <w:rFonts w:eastAsia="宋体" w:cs="Times New Roman"/>
      <w:sz w:val="28"/>
      <w:szCs w:val="20"/>
    </w:rPr>
  </w:style>
  <w:style w:type="character" w:customStyle="1" w:styleId="257">
    <w:name w:val="gray6"/>
    <w:basedOn w:val="48"/>
    <w:qFormat/>
    <w:uiPriority w:val="0"/>
  </w:style>
  <w:style w:type="character" w:customStyle="1" w:styleId="258">
    <w:name w:val="style9"/>
    <w:basedOn w:val="48"/>
    <w:qFormat/>
    <w:uiPriority w:val="0"/>
  </w:style>
  <w:style w:type="character" w:customStyle="1" w:styleId="259">
    <w:name w:val="grame"/>
    <w:basedOn w:val="48"/>
    <w:qFormat/>
    <w:uiPriority w:val="0"/>
  </w:style>
  <w:style w:type="paragraph" w:customStyle="1" w:styleId="260">
    <w:name w:val="style2"/>
    <w:basedOn w:val="1"/>
    <w:qFormat/>
    <w:uiPriority w:val="0"/>
    <w:pPr>
      <w:widowControl/>
      <w:spacing w:before="100" w:beforeAutospacing="1" w:afterLines="0" w:afterAutospacing="1" w:line="240" w:lineRule="auto"/>
      <w:jc w:val="left"/>
    </w:pPr>
    <w:rPr>
      <w:rFonts w:ascii="宋体" w:hAnsi="宋体" w:cs="宋体"/>
      <w:kern w:val="0"/>
      <w:sz w:val="18"/>
      <w:szCs w:val="18"/>
    </w:rPr>
  </w:style>
  <w:style w:type="paragraph" w:customStyle="1" w:styleId="261">
    <w:name w:val="编号1"/>
    <w:basedOn w:val="1"/>
    <w:qFormat/>
    <w:uiPriority w:val="0"/>
    <w:pPr>
      <w:numPr>
        <w:ilvl w:val="0"/>
        <w:numId w:val="6"/>
      </w:numPr>
      <w:adjustRightInd w:val="0"/>
      <w:spacing w:afterLines="0"/>
      <w:ind w:right="210"/>
      <w:textAlignment w:val="center"/>
    </w:pPr>
    <w:rPr>
      <w:rFonts w:ascii="宋体" w:hAnsi="宋体"/>
      <w:snapToGrid w:val="0"/>
      <w:spacing w:val="10"/>
      <w:kern w:val="24"/>
    </w:rPr>
  </w:style>
  <w:style w:type="paragraph" w:customStyle="1" w:styleId="262">
    <w:name w:val="Char Char Char Char Char Char Char Char Char Char Char Char Char Char Char Char Char Char Char Char Char Char"/>
    <w:basedOn w:val="1"/>
    <w:qFormat/>
    <w:uiPriority w:val="0"/>
    <w:pPr>
      <w:widowControl/>
      <w:spacing w:afterLines="0" w:line="400" w:lineRule="exact"/>
      <w:jc w:val="center"/>
    </w:pPr>
    <w:rPr>
      <w:rFonts w:ascii="Verdana" w:hAnsi="Verdana"/>
      <w:kern w:val="0"/>
      <w:szCs w:val="20"/>
      <w:lang w:eastAsia="en-US"/>
    </w:rPr>
  </w:style>
  <w:style w:type="paragraph" w:customStyle="1" w:styleId="263">
    <w:name w:val="表格字"/>
    <w:basedOn w:val="1"/>
    <w:qFormat/>
    <w:uiPriority w:val="0"/>
    <w:pPr>
      <w:adjustRightInd w:val="0"/>
      <w:spacing w:afterLines="0" w:line="240" w:lineRule="auto"/>
      <w:jc w:val="center"/>
    </w:pPr>
    <w:rPr>
      <w:rFonts w:ascii="宋体" w:hAnsi="Times New Roman"/>
      <w:sz w:val="24"/>
      <w:szCs w:val="20"/>
    </w:rPr>
  </w:style>
  <w:style w:type="character" w:customStyle="1" w:styleId="264">
    <w:name w:val="样式 小三 加粗"/>
    <w:qFormat/>
    <w:uiPriority w:val="0"/>
    <w:rPr>
      <w:rFonts w:eastAsia="宋体"/>
      <w:b/>
      <w:bCs/>
      <w:sz w:val="32"/>
    </w:rPr>
  </w:style>
  <w:style w:type="paragraph" w:customStyle="1" w:styleId="26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66">
    <w:name w:val="Char2"/>
    <w:basedOn w:val="1"/>
    <w:qFormat/>
    <w:uiPriority w:val="0"/>
    <w:pPr>
      <w:widowControl/>
      <w:spacing w:afterLines="0" w:line="240" w:lineRule="exact"/>
      <w:jc w:val="left"/>
    </w:pPr>
    <w:rPr>
      <w:rFonts w:ascii="Verdana" w:hAnsi="Verdana" w:eastAsia="仿宋_GB2312"/>
      <w:kern w:val="0"/>
      <w:sz w:val="24"/>
      <w:szCs w:val="20"/>
      <w:lang w:eastAsia="en-US"/>
    </w:rPr>
  </w:style>
  <w:style w:type="character" w:customStyle="1" w:styleId="267">
    <w:name w:val="info4"/>
    <w:basedOn w:val="48"/>
    <w:qFormat/>
    <w:uiPriority w:val="0"/>
  </w:style>
  <w:style w:type="paragraph" w:customStyle="1" w:styleId="268">
    <w:name w:val="缩进正文"/>
    <w:basedOn w:val="1"/>
    <w:link w:val="269"/>
    <w:qFormat/>
    <w:uiPriority w:val="0"/>
    <w:pPr>
      <w:spacing w:afterLines="0" w:line="240" w:lineRule="auto"/>
      <w:ind w:firstLine="560" w:firstLineChars="200"/>
    </w:pPr>
    <w:rPr>
      <w:rFonts w:ascii="Times New Roman" w:hAnsi="Times New Roman" w:eastAsia="仿宋_GB2312" w:cs="宋体"/>
      <w:sz w:val="28"/>
      <w:szCs w:val="20"/>
    </w:rPr>
  </w:style>
  <w:style w:type="character" w:customStyle="1" w:styleId="269">
    <w:name w:val="缩进正文 Char"/>
    <w:link w:val="268"/>
    <w:qFormat/>
    <w:uiPriority w:val="0"/>
    <w:rPr>
      <w:rFonts w:ascii="Times New Roman" w:hAnsi="Times New Roman" w:eastAsia="仿宋_GB2312" w:cs="宋体"/>
      <w:sz w:val="28"/>
      <w:szCs w:val="20"/>
    </w:rPr>
  </w:style>
  <w:style w:type="paragraph" w:customStyle="1" w:styleId="270">
    <w:name w:val="评价"/>
    <w:basedOn w:val="1"/>
    <w:qFormat/>
    <w:uiPriority w:val="0"/>
    <w:pPr>
      <w:spacing w:afterLines="20" w:line="240" w:lineRule="auto"/>
      <w:ind w:firstLine="1446" w:firstLineChars="200"/>
    </w:pPr>
    <w:rPr>
      <w:rFonts w:ascii="Calibri" w:hAnsi="Calibri"/>
      <w:sz w:val="24"/>
    </w:rPr>
  </w:style>
  <w:style w:type="paragraph" w:customStyle="1" w:styleId="271">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2">
    <w:name w:val="alt-edited1"/>
    <w:qFormat/>
    <w:uiPriority w:val="0"/>
    <w:rPr>
      <w:color w:val="4D90F0"/>
    </w:rPr>
  </w:style>
  <w:style w:type="paragraph" w:customStyle="1" w:styleId="273">
    <w:name w:val="msonormal"/>
    <w:basedOn w:val="1"/>
    <w:qFormat/>
    <w:uiPriority w:val="0"/>
    <w:pPr>
      <w:widowControl/>
      <w:spacing w:before="100" w:beforeAutospacing="1" w:afterLines="0" w:afterAutospacing="1" w:line="240" w:lineRule="auto"/>
      <w:jc w:val="left"/>
    </w:pPr>
    <w:rPr>
      <w:rFonts w:ascii="宋体" w:hAnsi="宋体" w:cs="宋体"/>
      <w:kern w:val="0"/>
      <w:sz w:val="24"/>
    </w:rPr>
  </w:style>
  <w:style w:type="paragraph" w:customStyle="1" w:styleId="274">
    <w:name w:val="xl65"/>
    <w:basedOn w:val="1"/>
    <w:qFormat/>
    <w:uiPriority w:val="0"/>
    <w:pPr>
      <w:widowControl/>
      <w:spacing w:before="100" w:beforeAutospacing="1" w:afterLines="0" w:afterAutospacing="1" w:line="240" w:lineRule="auto"/>
      <w:jc w:val="left"/>
    </w:pPr>
    <w:rPr>
      <w:rFonts w:ascii="宋体" w:hAnsi="宋体" w:cs="宋体"/>
      <w:b/>
      <w:bCs/>
      <w:kern w:val="0"/>
      <w:sz w:val="24"/>
    </w:rPr>
  </w:style>
  <w:style w:type="paragraph" w:customStyle="1" w:styleId="2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b/>
      <w:bCs/>
      <w:kern w:val="0"/>
      <w:sz w:val="24"/>
    </w:rPr>
  </w:style>
  <w:style w:type="paragraph" w:customStyle="1" w:styleId="27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pPr>
    <w:rPr>
      <w:rFonts w:ascii="宋体" w:hAnsi="宋体" w:cs="宋体"/>
      <w:b/>
      <w:bCs/>
      <w:kern w:val="0"/>
      <w:sz w:val="24"/>
    </w:rPr>
  </w:style>
  <w:style w:type="paragraph" w:customStyle="1" w:styleId="27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textAlignment w:val="center"/>
    </w:pPr>
    <w:rPr>
      <w:rFonts w:ascii="宋体" w:hAnsi="宋体" w:cs="宋体"/>
      <w:kern w:val="0"/>
      <w:sz w:val="24"/>
    </w:rPr>
  </w:style>
  <w:style w:type="paragraph" w:customStyle="1" w:styleId="27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left"/>
    </w:pPr>
    <w:rPr>
      <w:rFonts w:ascii="宋体" w:hAnsi="宋体" w:cs="宋体"/>
      <w:kern w:val="0"/>
      <w:sz w:val="24"/>
    </w:rPr>
  </w:style>
  <w:style w:type="paragraph" w:customStyle="1" w:styleId="27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Lines="0" w:afterAutospacing="1" w:line="240" w:lineRule="auto"/>
      <w:jc w:val="center"/>
    </w:pPr>
    <w:rPr>
      <w:rFonts w:ascii="宋体" w:hAnsi="宋体" w:cs="宋体"/>
      <w:kern w:val="0"/>
      <w:sz w:val="24"/>
    </w:rPr>
  </w:style>
  <w:style w:type="paragraph" w:customStyle="1" w:styleId="280">
    <w:name w:val="xl71"/>
    <w:basedOn w:val="1"/>
    <w:qFormat/>
    <w:uiPriority w:val="0"/>
    <w:pPr>
      <w:widowControl/>
      <w:pBdr>
        <w:bottom w:val="single" w:color="auto" w:sz="4" w:space="0"/>
      </w:pBdr>
      <w:spacing w:before="100" w:beforeAutospacing="1" w:afterLines="0" w:afterAutospacing="1" w:line="240" w:lineRule="auto"/>
      <w:jc w:val="center"/>
    </w:pPr>
    <w:rPr>
      <w:rFonts w:ascii="宋体" w:hAnsi="宋体" w:cs="宋体"/>
      <w:kern w:val="0"/>
      <w:sz w:val="52"/>
      <w:szCs w:val="52"/>
    </w:rPr>
  </w:style>
  <w:style w:type="paragraph" w:customStyle="1" w:styleId="281">
    <w:name w:val="xl73"/>
    <w:basedOn w:val="1"/>
    <w:qFormat/>
    <w:uiPriority w:val="0"/>
    <w:pPr>
      <w:widowControl/>
      <w:pBdr>
        <w:bottom w:val="single" w:color="auto" w:sz="4" w:space="0"/>
      </w:pBdr>
      <w:spacing w:before="100" w:beforeAutospacing="1" w:afterLines="0" w:afterAutospacing="1" w:line="240" w:lineRule="auto"/>
      <w:jc w:val="center"/>
    </w:pPr>
    <w:rPr>
      <w:rFonts w:ascii="宋体" w:hAnsi="宋体" w:cs="宋体"/>
      <w:kern w:val="0"/>
      <w:sz w:val="52"/>
      <w:szCs w:val="52"/>
    </w:rPr>
  </w:style>
  <w:style w:type="character" w:customStyle="1" w:styleId="282">
    <w:name w:val="font31"/>
    <w:qFormat/>
    <w:uiPriority w:val="0"/>
    <w:rPr>
      <w:rFonts w:hint="eastAsia" w:ascii="宋体" w:hAnsi="宋体" w:eastAsia="宋体" w:cs="宋体"/>
      <w:b/>
      <w:color w:val="000000"/>
      <w:sz w:val="22"/>
      <w:szCs w:val="22"/>
      <w:u w:val="none"/>
    </w:rPr>
  </w:style>
  <w:style w:type="character" w:customStyle="1" w:styleId="283">
    <w:name w:val="font51"/>
    <w:basedOn w:val="48"/>
    <w:qFormat/>
    <w:uiPriority w:val="0"/>
    <w:rPr>
      <w:rFonts w:hint="default" w:ascii="Times New Roman" w:hAnsi="Times New Roman" w:cs="Times New Roman"/>
      <w:color w:val="000000"/>
      <w:sz w:val="22"/>
      <w:szCs w:val="22"/>
      <w:u w:val="none"/>
    </w:rPr>
  </w:style>
  <w:style w:type="paragraph" w:customStyle="1" w:styleId="284">
    <w:name w:val="表文字"/>
    <w:basedOn w:val="1"/>
    <w:next w:val="1"/>
    <w:qFormat/>
    <w:uiPriority w:val="99"/>
    <w:pPr>
      <w:autoSpaceDE w:val="0"/>
      <w:autoSpaceDN w:val="0"/>
      <w:adjustRightInd w:val="0"/>
      <w:spacing w:afterLines="0" w:line="240" w:lineRule="auto"/>
      <w:jc w:val="left"/>
    </w:pPr>
    <w:rPr>
      <w:rFonts w:ascii="宋体" w:hAnsi="Times New Roman"/>
      <w:kern w:val="0"/>
      <w:sz w:val="24"/>
    </w:rPr>
  </w:style>
  <w:style w:type="character" w:customStyle="1" w:styleId="285">
    <w:name w:val="font61"/>
    <w:basedOn w:val="48"/>
    <w:qFormat/>
    <w:uiPriority w:val="0"/>
    <w:rPr>
      <w:rFonts w:hint="eastAsia" w:ascii="宋体" w:hAnsi="宋体" w:eastAsia="宋体" w:cs="宋体"/>
      <w:color w:val="000000"/>
      <w:sz w:val="18"/>
      <w:szCs w:val="18"/>
      <w:u w:val="none"/>
    </w:rPr>
  </w:style>
  <w:style w:type="character" w:customStyle="1" w:styleId="286">
    <w:name w:val="列出段落 Char"/>
    <w:link w:val="180"/>
    <w:qFormat/>
    <w:uiPriority w:val="34"/>
    <w:rPr>
      <w:rFonts w:ascii="Calibri" w:hAnsi="Calibri" w:eastAsia="宋体" w:cs="Times New Roman"/>
    </w:rPr>
  </w:style>
  <w:style w:type="character" w:customStyle="1" w:styleId="287">
    <w:name w:val="font271"/>
    <w:basedOn w:val="48"/>
    <w:qFormat/>
    <w:uiPriority w:val="0"/>
    <w:rPr>
      <w:rFonts w:hint="eastAsia" w:ascii="宋体" w:hAnsi="宋体" w:eastAsia="宋体" w:cs="宋体"/>
      <w:color w:val="auto"/>
      <w:sz w:val="20"/>
      <w:szCs w:val="20"/>
      <w:u w:val="none"/>
    </w:rPr>
  </w:style>
  <w:style w:type="character" w:customStyle="1" w:styleId="288">
    <w:name w:val="font281"/>
    <w:basedOn w:val="48"/>
    <w:qFormat/>
    <w:uiPriority w:val="0"/>
    <w:rPr>
      <w:rFonts w:hint="eastAsia"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7915</Words>
  <Characters>45116</Characters>
  <Lines>375</Lines>
  <Paragraphs>105</Paragraphs>
  <TotalTime>55</TotalTime>
  <ScaleCrop>false</ScaleCrop>
  <LinksUpToDate>false</LinksUpToDate>
  <CharactersWithSpaces>52926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2021-05-14T09:43:00Z</dcterms:created>
  <dc:creator>LENOVO</dc:creator>
  <cp:lastModifiedBy>rsj</cp:lastModifiedBy>
  <cp:lastPrinted>2021-01-15T10:47:00Z</cp:lastPrinted>
  <dcterms:modified xsi:type="dcterms:W3CDTF">2022-07-15T17:37:29Z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FE1A50223D8F421FB6ECCD1D76B9242C</vt:lpwstr>
  </property>
</Properties>
</file>