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auto"/>
          <w:kern w:val="2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kern w:val="2"/>
          <w:sz w:val="36"/>
          <w:szCs w:val="36"/>
        </w:rPr>
        <w:t>广府风味菜烹饪专项职业能力考核规范</w:t>
      </w:r>
    </w:p>
    <w:bookmarkEnd w:id="0"/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  <w:t xml:space="preserve">一、定义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运用粤菜烹饪工艺，对菜肴原料进行加工，制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具有广东岭南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饮食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文化与广府传统地方风味特色菜肴的能力。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  <w:t xml:space="preserve">二、适用对象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运用或准备运用本项能力求职、就业的人员。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三、能力标准和鉴定的内容</w:t>
      </w:r>
    </w:p>
    <w:tbl>
      <w:tblPr>
        <w:tblStyle w:val="4"/>
        <w:tblW w:w="83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86"/>
        <w:gridCol w:w="288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3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能力名称：广府风味菜烹饪                  职业领域：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中式烹调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工作任务</w:t>
            </w:r>
          </w:p>
        </w:tc>
        <w:tc>
          <w:tcPr>
            <w:tcW w:w="32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操作规范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相关知识</w:t>
            </w:r>
          </w:p>
        </w:tc>
        <w:tc>
          <w:tcPr>
            <w:tcW w:w="9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（一）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操作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安全与卫生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1.操作娴熟，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工艺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程序、步骤恰当，没有较大或原则性差错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2.掌握烹饪设备的安全操作方法，有良好的操作习惯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.注重操作和食品卫生、符合食品卫生要求。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有良好的卫生习惯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原料加工、菜肴烹制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的工艺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环节、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工艺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程序等知识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安全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用电、消防、用火知识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生产事故常识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厨房常用设备、工用具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安全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使用知识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食品安全法律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食物中毒与预防知识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原料变质知识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烹制过程中有毒物质产生知识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原料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初加工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原料初步加工方法,净料率符合规范要求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能够对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进行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腌制、预制，操作方法正确，符合腌制、预制质量要求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掌握常用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干货原料的涨发方法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涨发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成品符合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质量要求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4.能够制作鱼胶、猪肉胶等馅料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原料初加工知识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原料腌制与预制加工方法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干货原料的涨发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馅料制作知识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原料切配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掌握标准刀法和非标准刀法的运用技巧，合理地运用到原料的切配中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原料刀工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成形的规格要求，能够将原料加工成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菜肴要求的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形规格且成形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均匀，成率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符合要求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掌握配菜基本方法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菜肴主辅料、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色彩搭配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，装饰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点缀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恰当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菜肴命名文雅、贴切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标准刀法和非标准刀法知识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原料的刀工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成形规格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成率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配菜和菜肴命名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知识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菜肴烹制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原料初步熟处理方法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运用恰当，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符合质量要求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能够正确运用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火候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进行烹制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调味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能够合理使用调味料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掌握勾芡方法，能够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准确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运用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芡色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5.掌握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蒸、焖、扒、炒、炸、煎、焗、煀等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烹调法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的操作要领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掌握菜肴造型和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器皿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选用方法，能够运用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堆放、摆设、拼砌等装盘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技巧使菜肴成形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美观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6.能够烹制广府风味菜肴。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炟、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飞、滚、煨、炸、泡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油等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初步熟处理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及火候知识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调味原则、方法等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芡的知识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蒸、焖、扒、炒、炸、煎、焗、煀等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烹调法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烹饪美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广府地区饮食风俗习惯（饮食文化），风味名菜的特点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45%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四、鉴定要求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</w:rPr>
        <w:t>达到法定劳动年龄，具有相应技能的劳动者均可申报。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（二）考评员构成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考评员应具备一定中式烹调专业知识和操作经验；每个考评组中不少于4名考评员。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技能操作考核采取实际操作考核。技能操作试题按照不少于90分钟命制。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（四）鉴定场地设备要求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考场面积不小于50平方米，烹饪制作的设施、设备和工具齐全。室内采光良好，通风、供排水良好，整洁无干扰。卫生、安全符合国家相关规定标准。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2019-02-28T07:11:03Z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