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lang w:eastAsia="zh-Hans"/>
        </w:rPr>
        <w:t>采购“线上+线下”联动精准实施危险化学品安全培训和工伤预防项目</w:t>
      </w:r>
    </w:p>
    <w:p>
      <w:pPr>
        <w:spacing w:line="560" w:lineRule="exact"/>
        <w:jc w:val="center"/>
        <w:rPr>
          <w:rFonts w:ascii="方正小标宋_GBK" w:hAnsi="方正小标宋_GBK" w:eastAsia="方正小标宋_GBK" w:cs="方正小标宋_GBK"/>
          <w:b/>
          <w:bCs/>
          <w:color w:val="auto"/>
          <w:sz w:val="44"/>
          <w:szCs w:val="44"/>
        </w:rPr>
      </w:pPr>
      <w:r>
        <w:rPr>
          <w:rFonts w:hint="eastAsia" w:ascii="方正小标宋_GBK" w:hAnsi="方正小标宋_GBK" w:eastAsia="方正小标宋_GBK" w:cs="方正小标宋_GBK"/>
          <w:b/>
          <w:bCs/>
          <w:color w:val="auto"/>
          <w:sz w:val="44"/>
          <w:szCs w:val="44"/>
        </w:rPr>
        <w:t>采购需求文件</w:t>
      </w:r>
    </w:p>
    <w:p>
      <w:pPr>
        <w:pStyle w:val="5"/>
        <w:rPr>
          <w:color w:val="auto"/>
        </w:rPr>
      </w:pPr>
    </w:p>
    <w:tbl>
      <w:tblPr>
        <w:tblStyle w:val="15"/>
        <w:tblW w:w="9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208"/>
        <w:gridCol w:w="698"/>
        <w:gridCol w:w="411"/>
        <w:gridCol w:w="697"/>
        <w:gridCol w:w="1161"/>
        <w:gridCol w:w="689"/>
        <w:gridCol w:w="1071"/>
        <w:gridCol w:w="3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1843" w:type="dxa"/>
            <w:gridSpan w:val="4"/>
            <w:vAlign w:val="center"/>
          </w:tcPr>
          <w:p>
            <w:pPr>
              <w:jc w:val="center"/>
              <w:rPr>
                <w:rFonts w:ascii="宋体" w:hAnsi="宋体"/>
                <w:color w:val="auto"/>
                <w:szCs w:val="21"/>
              </w:rPr>
            </w:pPr>
            <w:r>
              <w:rPr>
                <w:rFonts w:hint="eastAsia" w:ascii="宋体" w:hAnsi="宋体"/>
                <w:color w:val="auto"/>
                <w:szCs w:val="21"/>
              </w:rPr>
              <w:t>项目名称</w:t>
            </w:r>
          </w:p>
        </w:tc>
        <w:tc>
          <w:tcPr>
            <w:tcW w:w="2547" w:type="dxa"/>
            <w:gridSpan w:val="3"/>
            <w:vAlign w:val="center"/>
          </w:tcPr>
          <w:p>
            <w:pPr>
              <w:jc w:val="center"/>
              <w:rPr>
                <w:rFonts w:ascii="宋体" w:hAnsi="宋体"/>
                <w:color w:val="auto"/>
                <w:szCs w:val="21"/>
              </w:rPr>
            </w:pPr>
            <w:r>
              <w:rPr>
                <w:rFonts w:hint="eastAsia" w:ascii="宋体" w:hAnsi="宋体"/>
                <w:color w:val="auto"/>
                <w:szCs w:val="21"/>
                <w:lang w:eastAsia="zh-Hans"/>
              </w:rPr>
              <w:t>采购“线上+线下”联动精准实施危险化学品安全培训和工伤预防项目</w:t>
            </w:r>
          </w:p>
        </w:tc>
        <w:tc>
          <w:tcPr>
            <w:tcW w:w="1071" w:type="dxa"/>
            <w:vAlign w:val="center"/>
          </w:tcPr>
          <w:p>
            <w:pPr>
              <w:jc w:val="center"/>
              <w:rPr>
                <w:rFonts w:ascii="宋体" w:hAnsi="宋体"/>
                <w:color w:val="auto"/>
                <w:szCs w:val="21"/>
              </w:rPr>
            </w:pPr>
            <w:r>
              <w:rPr>
                <w:rFonts w:hint="eastAsia" w:ascii="宋体" w:hAnsi="宋体"/>
                <w:color w:val="auto"/>
                <w:szCs w:val="21"/>
              </w:rPr>
              <w:t>采购方式</w:t>
            </w:r>
          </w:p>
        </w:tc>
        <w:tc>
          <w:tcPr>
            <w:tcW w:w="3877" w:type="dxa"/>
            <w:vAlign w:val="center"/>
          </w:tcPr>
          <w:p>
            <w:pPr>
              <w:jc w:val="center"/>
              <w:rPr>
                <w:rFonts w:hint="eastAsia" w:ascii="宋体" w:hAnsi="宋体" w:eastAsiaTheme="minorEastAsia"/>
                <w:color w:val="auto"/>
                <w:szCs w:val="21"/>
                <w:lang w:eastAsia="zh-CN"/>
              </w:rPr>
            </w:pPr>
            <w:r>
              <w:rPr>
                <w:rFonts w:hint="eastAsia" w:ascii="宋体" w:hAnsi="宋体"/>
                <w:color w:val="auto"/>
                <w:szCs w:val="21"/>
                <w:lang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1843" w:type="dxa"/>
            <w:gridSpan w:val="4"/>
            <w:vAlign w:val="center"/>
          </w:tcPr>
          <w:p>
            <w:pPr>
              <w:jc w:val="center"/>
              <w:rPr>
                <w:rFonts w:ascii="宋体" w:hAnsi="宋体"/>
                <w:color w:val="auto"/>
                <w:szCs w:val="21"/>
              </w:rPr>
            </w:pPr>
            <w:r>
              <w:rPr>
                <w:rFonts w:hint="eastAsia" w:ascii="宋体" w:hAnsi="宋体"/>
                <w:color w:val="auto"/>
                <w:szCs w:val="21"/>
              </w:rPr>
              <w:t>采购人名称</w:t>
            </w:r>
          </w:p>
        </w:tc>
        <w:tc>
          <w:tcPr>
            <w:tcW w:w="2547" w:type="dxa"/>
            <w:gridSpan w:val="3"/>
            <w:vAlign w:val="center"/>
          </w:tcPr>
          <w:p>
            <w:pPr>
              <w:jc w:val="center"/>
              <w:rPr>
                <w:rFonts w:ascii="宋体" w:hAnsi="宋体"/>
                <w:color w:val="auto"/>
                <w:szCs w:val="21"/>
              </w:rPr>
            </w:pPr>
            <w:r>
              <w:rPr>
                <w:rFonts w:hint="eastAsia" w:ascii="宋体" w:hAnsi="宋体"/>
                <w:color w:val="auto"/>
                <w:szCs w:val="21"/>
              </w:rPr>
              <w:t>深圳市应急管理局</w:t>
            </w:r>
          </w:p>
        </w:tc>
        <w:tc>
          <w:tcPr>
            <w:tcW w:w="1071" w:type="dxa"/>
            <w:vAlign w:val="center"/>
          </w:tcPr>
          <w:p>
            <w:pPr>
              <w:jc w:val="center"/>
              <w:rPr>
                <w:rFonts w:ascii="宋体" w:hAnsi="宋体"/>
                <w:color w:val="auto"/>
                <w:szCs w:val="21"/>
              </w:rPr>
            </w:pPr>
            <w:r>
              <w:rPr>
                <w:rFonts w:hint="eastAsia" w:ascii="宋体" w:hAnsi="宋体"/>
                <w:color w:val="auto"/>
                <w:szCs w:val="21"/>
              </w:rPr>
              <w:t>联系人</w:t>
            </w:r>
          </w:p>
        </w:tc>
        <w:tc>
          <w:tcPr>
            <w:tcW w:w="3877" w:type="dxa"/>
            <w:vAlign w:val="center"/>
          </w:tcPr>
          <w:p>
            <w:pPr>
              <w:jc w:val="center"/>
              <w:rPr>
                <w:rFonts w:ascii="宋体" w:hAnsi="宋体"/>
                <w:color w:val="auto"/>
                <w:szCs w:val="21"/>
              </w:rPr>
            </w:pPr>
            <w:r>
              <w:rPr>
                <w:rFonts w:hint="eastAsia" w:ascii="宋体" w:hAnsi="宋体"/>
                <w:color w:val="auto"/>
                <w:szCs w:val="21"/>
              </w:rPr>
              <w:t>许洪桥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1843" w:type="dxa"/>
            <w:gridSpan w:val="4"/>
            <w:vAlign w:val="center"/>
          </w:tcPr>
          <w:p>
            <w:pPr>
              <w:jc w:val="center"/>
              <w:rPr>
                <w:rFonts w:ascii="宋体" w:hAnsi="宋体"/>
                <w:color w:val="auto"/>
                <w:szCs w:val="21"/>
              </w:rPr>
            </w:pPr>
            <w:r>
              <w:rPr>
                <w:rFonts w:hint="eastAsia" w:ascii="宋体" w:hAnsi="宋体"/>
                <w:color w:val="auto"/>
                <w:szCs w:val="21"/>
              </w:rPr>
              <w:t>财政预算</w:t>
            </w:r>
          </w:p>
        </w:tc>
        <w:tc>
          <w:tcPr>
            <w:tcW w:w="7495" w:type="dxa"/>
            <w:gridSpan w:val="5"/>
            <w:vAlign w:val="center"/>
          </w:tcPr>
          <w:p>
            <w:pPr>
              <w:jc w:val="center"/>
              <w:rPr>
                <w:rFonts w:ascii="宋体" w:hAnsi="宋体"/>
                <w:color w:val="auto"/>
                <w:szCs w:val="21"/>
              </w:rPr>
            </w:pPr>
            <w:r>
              <w:rPr>
                <w:rFonts w:ascii="宋体" w:hAnsi="宋体"/>
                <w:color w:val="auto"/>
                <w:szCs w:val="21"/>
              </w:rPr>
              <w:t>70</w:t>
            </w:r>
            <w:r>
              <w:rPr>
                <w:rFonts w:hint="eastAsia" w:ascii="宋体" w:hAnsi="宋体"/>
                <w:color w:val="auto"/>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trPr>
        <w:tc>
          <w:tcPr>
            <w:tcW w:w="526" w:type="dxa"/>
            <w:vAlign w:val="center"/>
          </w:tcPr>
          <w:p>
            <w:pPr>
              <w:jc w:val="center"/>
              <w:rPr>
                <w:rFonts w:ascii="仿宋" w:hAnsi="仿宋" w:eastAsia="仿宋"/>
                <w:color w:val="auto"/>
                <w:szCs w:val="21"/>
              </w:rPr>
            </w:pPr>
            <w:r>
              <w:rPr>
                <w:rFonts w:hint="eastAsia" w:ascii="宋体" w:hAnsi="宋体"/>
                <w:color w:val="auto"/>
                <w:szCs w:val="21"/>
              </w:rPr>
              <w:t>投标人资格要求</w:t>
            </w:r>
          </w:p>
        </w:tc>
        <w:tc>
          <w:tcPr>
            <w:tcW w:w="8812" w:type="dxa"/>
            <w:gridSpan w:val="8"/>
          </w:tcPr>
          <w:p>
            <w:pPr>
              <w:spacing w:line="400" w:lineRule="atLeast"/>
              <w:rPr>
                <w:rFonts w:ascii="宋体" w:hAnsi="宋体" w:cs="宋体"/>
                <w:color w:val="auto"/>
                <w:kern w:val="0"/>
                <w:szCs w:val="21"/>
              </w:rPr>
            </w:pPr>
            <w:r>
              <w:rPr>
                <w:rFonts w:hint="eastAsia" w:ascii="宋体" w:hAnsi="宋体" w:cs="宋体"/>
                <w:color w:val="auto"/>
                <w:kern w:val="0"/>
                <w:szCs w:val="21"/>
              </w:rPr>
              <w:t>（一）中华人民共和国境内注册的独立法人或其他组织；</w:t>
            </w:r>
          </w:p>
          <w:p>
            <w:pPr>
              <w:spacing w:line="400" w:lineRule="atLeast"/>
              <w:rPr>
                <w:rFonts w:ascii="宋体" w:hAnsi="宋体" w:cs="宋体"/>
                <w:color w:val="auto"/>
                <w:kern w:val="0"/>
                <w:szCs w:val="21"/>
              </w:rPr>
            </w:pPr>
            <w:r>
              <w:rPr>
                <w:rFonts w:hint="eastAsia" w:ascii="宋体" w:hAnsi="宋体" w:cs="宋体"/>
                <w:color w:val="auto"/>
                <w:kern w:val="0"/>
                <w:szCs w:val="21"/>
              </w:rPr>
              <w:t>（二）供应商未因违法违规受到政府相关部门的行政处罚；</w:t>
            </w:r>
          </w:p>
          <w:p>
            <w:pPr>
              <w:spacing w:line="400" w:lineRule="atLeast"/>
              <w:rPr>
                <w:rFonts w:hint="eastAsia" w:ascii="宋体" w:hAnsi="宋体" w:cs="宋体"/>
                <w:color w:val="auto"/>
                <w:kern w:val="0"/>
                <w:szCs w:val="21"/>
              </w:rPr>
            </w:pPr>
            <w:r>
              <w:rPr>
                <w:rFonts w:hint="eastAsia" w:ascii="宋体" w:hAnsi="宋体" w:cs="宋体"/>
                <w:b w:val="0"/>
                <w:bCs w:val="0"/>
                <w:color w:val="auto"/>
                <w:kern w:val="0"/>
                <w:szCs w:val="21"/>
              </w:rPr>
              <w:t>（</w:t>
            </w:r>
            <w:r>
              <w:rPr>
                <w:rFonts w:hint="eastAsia" w:ascii="宋体" w:hAnsi="宋体" w:cs="宋体"/>
                <w:color w:val="auto"/>
                <w:kern w:val="0"/>
                <w:szCs w:val="21"/>
              </w:rPr>
              <w:t>三）本项目接受联合体投标。联合体成员最多不超过2家，不允许</w:t>
            </w:r>
            <w:r>
              <w:rPr>
                <w:rFonts w:hint="eastAsia" w:ascii="宋体" w:hAnsi="宋体" w:cs="宋体"/>
                <w:color w:val="auto"/>
                <w:kern w:val="0"/>
                <w:szCs w:val="21"/>
                <w:lang w:val="en-US" w:eastAsia="zh-CN"/>
              </w:rPr>
              <w:t>分</w:t>
            </w:r>
            <w:r>
              <w:rPr>
                <w:rFonts w:hint="eastAsia" w:ascii="宋体" w:hAnsi="宋体" w:cs="宋体"/>
                <w:color w:val="auto"/>
                <w:kern w:val="0"/>
                <w:szCs w:val="21"/>
              </w:rPr>
              <w:t>包。备注：如联合体投标，投标人还必须提供《联合体投标协议》，《联合体投标协议》须明确牵头人，并载明联合体各方承担的工作和义务。联合体单位成员不得再以自己的名义单独或组成新的联合体参加投标，否则作无效投标处理。</w:t>
            </w:r>
            <w:r>
              <w:rPr>
                <w:rFonts w:hint="eastAsia" w:ascii="宋体" w:hAnsi="宋体" w:cs="宋体"/>
                <w:color w:val="auto"/>
                <w:kern w:val="0"/>
                <w:szCs w:val="21"/>
              </w:rPr>
              <w:br w:type="textWrapping"/>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四</w:t>
            </w:r>
            <w:r>
              <w:rPr>
                <w:rFonts w:hint="eastAsia" w:ascii="宋体" w:hAnsi="宋体" w:cs="宋体"/>
                <w:color w:val="auto"/>
                <w:kern w:val="0"/>
                <w:szCs w:val="21"/>
                <w:lang w:eastAsia="zh-CN"/>
              </w:rPr>
              <w:t>）</w:t>
            </w:r>
            <w:bookmarkStart w:id="0" w:name="_Hlk60239043"/>
            <w:r>
              <w:rPr>
                <w:rFonts w:hint="eastAsia" w:ascii="宋体" w:hAnsi="宋体" w:cs="宋体"/>
                <w:color w:val="auto"/>
                <w:kern w:val="0"/>
                <w:szCs w:val="21"/>
              </w:rPr>
              <w:t>关于享受优惠政策的主体及价格扣除比例</w:t>
            </w:r>
          </w:p>
          <w:bookmarkEnd w:id="0"/>
          <w:p>
            <w:pPr>
              <w:spacing w:line="400" w:lineRule="atLeast"/>
              <w:rPr>
                <w:rFonts w:hint="eastAsia" w:ascii="宋体" w:hAnsi="宋体" w:cs="宋体"/>
                <w:color w:val="auto"/>
                <w:kern w:val="0"/>
                <w:szCs w:val="21"/>
              </w:rPr>
            </w:pPr>
            <w:r>
              <w:rPr>
                <w:rFonts w:hint="eastAsia" w:ascii="宋体" w:hAnsi="宋体" w:cs="宋体"/>
                <w:color w:val="auto"/>
                <w:kern w:val="0"/>
                <w:szCs w:val="21"/>
              </w:rPr>
              <w:t>（1）投标人提供的服务全部均由优惠主体承接，则对其投标总价给予</w:t>
            </w:r>
            <w:r>
              <w:rPr>
                <w:rFonts w:hint="eastAsia" w:ascii="宋体" w:hAnsi="宋体" w:cs="宋体"/>
                <w:color w:val="auto"/>
                <w:kern w:val="0"/>
                <w:szCs w:val="21"/>
                <w:u w:val="single"/>
                <w:lang w:val="en-US" w:eastAsia="zh-CN"/>
              </w:rPr>
              <w:t>10</w:t>
            </w:r>
            <w:r>
              <w:rPr>
                <w:rFonts w:hint="eastAsia" w:ascii="宋体" w:hAnsi="宋体" w:cs="宋体"/>
                <w:color w:val="auto"/>
                <w:kern w:val="0"/>
                <w:szCs w:val="21"/>
                <w:u w:val="single"/>
              </w:rPr>
              <w:t>%</w:t>
            </w:r>
            <w:r>
              <w:rPr>
                <w:rFonts w:hint="eastAsia" w:ascii="宋体" w:hAnsi="宋体" w:cs="宋体"/>
                <w:color w:val="auto"/>
                <w:kern w:val="0"/>
                <w:szCs w:val="21"/>
              </w:rPr>
              <w:t>的扣除，用扣除后的价格参与评审。满足多项优惠政策的企业，不重复享受多项价格扣除政策。</w:t>
            </w:r>
          </w:p>
          <w:p>
            <w:pPr>
              <w:spacing w:line="400" w:lineRule="atLeast"/>
              <w:rPr>
                <w:rFonts w:hint="eastAsia" w:ascii="宋体" w:hAnsi="宋体" w:cs="宋体"/>
                <w:color w:val="auto"/>
                <w:kern w:val="0"/>
                <w:szCs w:val="21"/>
              </w:rPr>
            </w:pPr>
            <w:r>
              <w:rPr>
                <w:rFonts w:hint="eastAsia" w:ascii="宋体" w:hAnsi="宋体" w:cs="宋体"/>
                <w:color w:val="auto"/>
                <w:kern w:val="0"/>
                <w:szCs w:val="21"/>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pPr>
              <w:spacing w:line="400" w:lineRule="atLeast"/>
              <w:rPr>
                <w:rFonts w:hint="eastAsia" w:ascii="宋体" w:hAnsi="宋体" w:cs="宋体"/>
                <w:color w:val="auto"/>
                <w:kern w:val="0"/>
                <w:szCs w:val="21"/>
              </w:rPr>
            </w:pPr>
            <w:r>
              <w:rPr>
                <w:rFonts w:hint="eastAsia" w:ascii="宋体" w:hAnsi="宋体" w:cs="宋体"/>
                <w:color w:val="auto"/>
                <w:kern w:val="0"/>
                <w:szCs w:val="21"/>
              </w:rPr>
              <w:t>（2）根据《工业和信息化部、国家统计局、国家发展和改革委员会、财政部关于印发中小企业划型标准规定的通知》（工信部联企业〔2011〕300 号），本项目采购标的（服务需求）对应的中小企业划分标准所属行业为其他未列明行业。</w:t>
            </w:r>
          </w:p>
          <w:p>
            <w:pPr>
              <w:spacing w:line="400" w:lineRule="atLeast"/>
              <w:rPr>
                <w:rFonts w:hint="eastAsia" w:ascii="宋体" w:hAnsi="宋体" w:cs="宋体"/>
                <w:color w:val="auto"/>
                <w:kern w:val="0"/>
                <w:szCs w:val="21"/>
              </w:rPr>
            </w:pPr>
            <w:r>
              <w:rPr>
                <w:rFonts w:hint="eastAsia" w:ascii="宋体" w:hAnsi="宋体" w:cs="宋体"/>
                <w:color w:val="auto"/>
                <w:kern w:val="0"/>
                <w:szCs w:val="21"/>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格式、附件”中“三、投标人情况介绍及资格要求”章节提供的格式）。</w:t>
            </w:r>
          </w:p>
          <w:p>
            <w:pPr>
              <w:spacing w:line="400" w:lineRule="atLeast"/>
              <w:rPr>
                <w:rFonts w:hint="eastAsia" w:ascii="宋体" w:hAnsi="宋体" w:cs="宋体"/>
                <w:color w:val="auto"/>
                <w:kern w:val="0"/>
                <w:szCs w:val="21"/>
              </w:rPr>
            </w:pPr>
            <w:r>
              <w:rPr>
                <w:rFonts w:hint="eastAsia" w:ascii="宋体" w:hAnsi="宋体" w:cs="宋体"/>
                <w:color w:val="auto"/>
                <w:kern w:val="0"/>
                <w:szCs w:val="21"/>
              </w:rPr>
              <w:t>（4）享受价格扣除获得政府采购合同的，小微企业不得将合同分包给大中型企业。</w:t>
            </w:r>
          </w:p>
          <w:p>
            <w:pPr>
              <w:spacing w:line="400" w:lineRule="atLeast"/>
              <w:rPr>
                <w:rFonts w:hint="eastAsia" w:ascii="宋体" w:hAnsi="宋体" w:cs="宋体" w:eastAsiaTheme="minorEastAsia"/>
                <w:color w:val="auto"/>
                <w:kern w:val="0"/>
                <w:szCs w:val="21"/>
                <w:lang w:eastAsia="zh-CN"/>
              </w:rPr>
            </w:pPr>
            <w:r>
              <w:rPr>
                <w:rFonts w:hint="eastAsia" w:ascii="宋体" w:hAnsi="宋体" w:cs="宋体"/>
                <w:color w:val="auto"/>
                <w:kern w:val="0"/>
                <w:szCs w:val="21"/>
              </w:rPr>
              <w:t>（5）联合体投标的情况下：1、联合体各方均为优惠主体的，该联合体视同为优惠主体享受同比例价格扣除；2、联合体共同投标协议中明确注明约定优惠主体的协议合同金额占到联合体协议总金额30%以上的，对该联合体的投标总价给予</w:t>
            </w:r>
            <w:r>
              <w:rPr>
                <w:rFonts w:hint="eastAsia" w:ascii="宋体" w:hAnsi="宋体" w:cs="宋体"/>
                <w:color w:val="auto"/>
                <w:kern w:val="0"/>
                <w:szCs w:val="21"/>
                <w:lang w:val="en-US" w:eastAsia="zh-CN"/>
              </w:rPr>
              <w:t>4</w:t>
            </w:r>
            <w:r>
              <w:rPr>
                <w:rFonts w:hint="eastAsia" w:ascii="宋体" w:hAnsi="宋体" w:cs="宋体"/>
                <w:color w:val="auto"/>
                <w:kern w:val="0"/>
                <w:szCs w:val="21"/>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526" w:type="dxa"/>
          </w:tcPr>
          <w:p>
            <w:pPr>
              <w:rPr>
                <w:color w:val="auto"/>
              </w:rPr>
            </w:pPr>
            <w:r>
              <w:rPr>
                <w:rFonts w:hint="eastAsia"/>
                <w:color w:val="auto"/>
              </w:rPr>
              <w:t>项目背景</w:t>
            </w:r>
          </w:p>
        </w:tc>
        <w:tc>
          <w:tcPr>
            <w:tcW w:w="8812" w:type="dxa"/>
            <w:gridSpan w:val="8"/>
          </w:tcPr>
          <w:p>
            <w:r>
              <w:rPr>
                <w:rFonts w:hint="eastAsia"/>
              </w:rPr>
              <w:t>☑有，情况说明：</w:t>
            </w:r>
          </w:p>
          <w:p>
            <w:pPr>
              <w:ind w:firstLine="420" w:firstLineChars="200"/>
            </w:pPr>
            <w:r>
              <w:rPr>
                <w:rFonts w:hint="eastAsia" w:ascii="Times New Roman" w:hAnsi="宋体" w:eastAsia="宋体" w:cs="宋体"/>
                <w:bCs/>
                <w:color w:val="auto"/>
                <w:kern w:val="0"/>
                <w:sz w:val="21"/>
                <w:szCs w:val="21"/>
                <w:lang w:val="en-US" w:eastAsia="zh-CN" w:bidi="ar-SA"/>
              </w:rPr>
              <w:t>为贯彻落实《广东省工伤保险条例》《广东省关于工伤预防项目实施暂行办法》《深圳市人力资源和社会保障局 深圳市应急管理局关于印发&lt;深圳市危险化学品企业工伤预防能力提升培训工程实施方案&gt;的通知》和《深圳市人力资源和社会保障局关于发布2023年工伤预防实施项目的通知》等有关要求，扎实做好我市2023年危险化学品企业工伤预防培训工作，进一步提升企业安全管理水平，提高从业人员安全意识和自我防护意识，降低工伤事故发生率，更好地保障企业职工的人身安全和健康。</w:t>
            </w:r>
          </w:p>
          <w:p>
            <w:r>
              <w:rPr>
                <w:rFonts w:hint="eastAsia"/>
              </w:rPr>
              <w:t>□无。</w:t>
            </w:r>
          </w:p>
          <w:p>
            <w:r>
              <w:rPr>
                <w:rFonts w:hint="eastAsia"/>
              </w:rPr>
              <w:t>指引：项目有特别需求，如技术复杂、时间紧迫、大型项目、重点项目等，建议采购人补充说明。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7" w:hRule="atLeast"/>
        </w:trPr>
        <w:tc>
          <w:tcPr>
            <w:tcW w:w="526" w:type="dxa"/>
            <w:vAlign w:val="center"/>
          </w:tcPr>
          <w:p>
            <w:pPr>
              <w:jc w:val="center"/>
              <w:rPr>
                <w:rFonts w:ascii="宋体" w:hAnsi="宋体" w:cs="宋体"/>
                <w:color w:val="auto"/>
                <w:kern w:val="0"/>
                <w:szCs w:val="21"/>
              </w:rPr>
            </w:pPr>
            <w:r>
              <w:rPr>
                <w:rFonts w:hint="eastAsia"/>
                <w:color w:val="auto"/>
              </w:rPr>
              <w:t>具体技术要求</w:t>
            </w:r>
          </w:p>
        </w:tc>
        <w:tc>
          <w:tcPr>
            <w:tcW w:w="8812" w:type="dxa"/>
            <w:gridSpan w:val="8"/>
          </w:tcPr>
          <w:p>
            <w:pPr>
              <w:pStyle w:val="28"/>
              <w:tabs>
                <w:tab w:val="left" w:pos="851"/>
              </w:tabs>
              <w:ind w:firstLine="0" w:firstLineChars="0"/>
              <w:rPr>
                <w:rFonts w:hAnsi="宋体" w:cs="宋体"/>
                <w:b/>
                <w:color w:val="auto"/>
                <w:kern w:val="0"/>
                <w:szCs w:val="21"/>
              </w:rPr>
            </w:pPr>
            <w:r>
              <w:rPr>
                <w:rFonts w:hint="eastAsia" w:ascii="宋体" w:hAnsi="宋体"/>
                <w:b/>
                <w:bCs/>
                <w:snapToGrid w:val="0"/>
                <w:color w:val="auto"/>
                <w:kern w:val="0"/>
              </w:rPr>
              <w:t>1.服务内容</w:t>
            </w:r>
          </w:p>
          <w:p>
            <w:pPr>
              <w:pStyle w:val="28"/>
              <w:tabs>
                <w:tab w:val="left" w:pos="851"/>
              </w:tabs>
              <w:rPr>
                <w:rFonts w:hint="eastAsia" w:ascii="Times New Roman" w:hAnsi="宋体" w:eastAsia="宋体" w:cs="宋体"/>
                <w:bCs/>
                <w:color w:val="auto"/>
                <w:kern w:val="0"/>
                <w:szCs w:val="21"/>
              </w:rPr>
            </w:pPr>
            <w:r>
              <w:rPr>
                <w:rFonts w:hint="eastAsia" w:ascii="Times New Roman" w:hAnsi="宋体" w:eastAsia="宋体" w:cs="宋体"/>
                <w:bCs/>
                <w:color w:val="auto"/>
                <w:kern w:val="0"/>
                <w:szCs w:val="21"/>
                <w:lang w:val="en-US" w:eastAsia="zh-CN"/>
              </w:rPr>
              <w:t>1.</w:t>
            </w:r>
            <w:r>
              <w:rPr>
                <w:rFonts w:hint="eastAsia" w:ascii="Times New Roman" w:hAnsi="宋体" w:eastAsia="宋体" w:cs="宋体"/>
                <w:bCs/>
                <w:color w:val="auto"/>
                <w:kern w:val="0"/>
                <w:szCs w:val="21"/>
              </w:rPr>
              <w:t>编制危险化学品重大危险源企业“三类人员”工伤预防培训课件及教材1套；</w:t>
            </w:r>
          </w:p>
          <w:p>
            <w:pPr>
              <w:pStyle w:val="28"/>
              <w:tabs>
                <w:tab w:val="left" w:pos="851"/>
              </w:tabs>
              <w:rPr>
                <w:rFonts w:hint="eastAsia" w:ascii="Times New Roman" w:hAnsi="宋体" w:eastAsia="宋体" w:cs="宋体"/>
                <w:bCs/>
                <w:color w:val="auto"/>
                <w:kern w:val="0"/>
                <w:szCs w:val="21"/>
              </w:rPr>
            </w:pPr>
            <w:r>
              <w:rPr>
                <w:rFonts w:hint="eastAsia" w:ascii="Times New Roman" w:hAnsi="宋体" w:eastAsia="宋体" w:cs="宋体"/>
                <w:bCs/>
                <w:color w:val="auto"/>
                <w:kern w:val="0"/>
                <w:szCs w:val="21"/>
                <w:lang w:val="en-US" w:eastAsia="zh-CN"/>
              </w:rPr>
              <w:t>2.</w:t>
            </w:r>
            <w:r>
              <w:rPr>
                <w:rFonts w:hint="eastAsia" w:ascii="Times New Roman" w:hAnsi="宋体" w:eastAsia="宋体" w:cs="宋体"/>
                <w:bCs/>
                <w:color w:val="auto"/>
                <w:kern w:val="0"/>
                <w:szCs w:val="21"/>
              </w:rPr>
              <w:t>编制危险化学品生产企业“三类人员”工伤预防培训课件及教材1套；</w:t>
            </w:r>
          </w:p>
          <w:p>
            <w:pPr>
              <w:pStyle w:val="28"/>
              <w:tabs>
                <w:tab w:val="left" w:pos="851"/>
              </w:tabs>
              <w:rPr>
                <w:rFonts w:hint="eastAsia" w:ascii="Times New Roman" w:hAnsi="宋体" w:eastAsia="宋体" w:cs="宋体"/>
                <w:bCs/>
                <w:color w:val="auto"/>
                <w:kern w:val="0"/>
                <w:szCs w:val="21"/>
              </w:rPr>
            </w:pPr>
            <w:r>
              <w:rPr>
                <w:rFonts w:hint="eastAsia" w:ascii="Times New Roman" w:hAnsi="宋体" w:eastAsia="宋体" w:cs="宋体"/>
                <w:bCs/>
                <w:color w:val="auto"/>
                <w:kern w:val="0"/>
                <w:szCs w:val="21"/>
                <w:lang w:val="en-US" w:eastAsia="zh-CN"/>
              </w:rPr>
              <w:t>3.</w:t>
            </w:r>
            <w:r>
              <w:rPr>
                <w:rFonts w:hint="eastAsia" w:ascii="Times New Roman" w:hAnsi="宋体" w:eastAsia="宋体" w:cs="宋体"/>
                <w:bCs/>
                <w:color w:val="auto"/>
                <w:kern w:val="0"/>
                <w:szCs w:val="21"/>
              </w:rPr>
              <w:t>编制化学合成类药品生产企业“三类人员”工伤预防培训课件及教材1套；</w:t>
            </w:r>
          </w:p>
          <w:p>
            <w:pPr>
              <w:pStyle w:val="28"/>
              <w:tabs>
                <w:tab w:val="left" w:pos="851"/>
              </w:tabs>
              <w:rPr>
                <w:rFonts w:hint="eastAsia" w:ascii="Times New Roman" w:hAnsi="宋体" w:eastAsia="宋体" w:cs="宋体"/>
                <w:bCs/>
                <w:color w:val="auto"/>
                <w:kern w:val="0"/>
                <w:szCs w:val="21"/>
              </w:rPr>
            </w:pPr>
            <w:r>
              <w:rPr>
                <w:rFonts w:hint="eastAsia" w:ascii="Times New Roman" w:hAnsi="宋体" w:eastAsia="宋体" w:cs="宋体"/>
                <w:bCs/>
                <w:color w:val="auto"/>
                <w:kern w:val="0"/>
                <w:szCs w:val="21"/>
                <w:lang w:val="en-US" w:eastAsia="zh-CN"/>
              </w:rPr>
              <w:t>4.</w:t>
            </w:r>
            <w:r>
              <w:rPr>
                <w:rFonts w:hint="eastAsia" w:ascii="Times New Roman" w:hAnsi="宋体" w:eastAsia="宋体" w:cs="宋体"/>
                <w:bCs/>
                <w:color w:val="auto"/>
                <w:kern w:val="0"/>
                <w:szCs w:val="21"/>
              </w:rPr>
              <w:t>编制加油站主要负责人、专职安全管理人员和一线班组长工伤预防培训课件及教材1套；</w:t>
            </w:r>
          </w:p>
          <w:p>
            <w:pPr>
              <w:pStyle w:val="28"/>
              <w:tabs>
                <w:tab w:val="left" w:pos="851"/>
              </w:tabs>
              <w:rPr>
                <w:rFonts w:hint="eastAsia" w:ascii="Times New Roman" w:hAnsi="宋体" w:eastAsia="宋体" w:cs="宋体"/>
                <w:bCs/>
                <w:color w:val="auto"/>
                <w:kern w:val="0"/>
                <w:szCs w:val="21"/>
              </w:rPr>
            </w:pPr>
            <w:r>
              <w:rPr>
                <w:rFonts w:hint="eastAsia" w:ascii="Times New Roman" w:hAnsi="宋体" w:eastAsia="宋体" w:cs="宋体"/>
                <w:bCs/>
                <w:color w:val="auto"/>
                <w:kern w:val="0"/>
                <w:szCs w:val="21"/>
                <w:lang w:val="en-US" w:eastAsia="zh-CN"/>
              </w:rPr>
              <w:t>5.</w:t>
            </w:r>
            <w:r>
              <w:rPr>
                <w:rFonts w:hint="eastAsia" w:ascii="Times New Roman" w:hAnsi="宋体" w:eastAsia="宋体" w:cs="宋体"/>
                <w:bCs/>
                <w:color w:val="auto"/>
                <w:kern w:val="0"/>
                <w:szCs w:val="21"/>
              </w:rPr>
              <w:t>编制储存设施未构成重大危险源的危险化学品带储存经营企业主要负责人、专职安全管理人员和一线班组长工伤预防培训课件及教材1套；</w:t>
            </w:r>
          </w:p>
          <w:p>
            <w:pPr>
              <w:pStyle w:val="28"/>
              <w:tabs>
                <w:tab w:val="left" w:pos="851"/>
              </w:tabs>
              <w:rPr>
                <w:rFonts w:hint="eastAsia" w:ascii="Times New Roman" w:hAnsi="宋体" w:eastAsia="宋体" w:cs="宋体"/>
                <w:bCs/>
                <w:color w:val="auto"/>
                <w:kern w:val="0"/>
                <w:szCs w:val="21"/>
              </w:rPr>
            </w:pPr>
            <w:r>
              <w:rPr>
                <w:rFonts w:hint="eastAsia" w:ascii="Times New Roman" w:hAnsi="宋体" w:eastAsia="宋体" w:cs="宋体"/>
                <w:bCs/>
                <w:color w:val="auto"/>
                <w:kern w:val="0"/>
                <w:szCs w:val="21"/>
                <w:lang w:val="en-US" w:eastAsia="zh-CN"/>
              </w:rPr>
              <w:t>6.</w:t>
            </w:r>
            <w:r>
              <w:rPr>
                <w:rFonts w:hint="eastAsia" w:ascii="Times New Roman" w:hAnsi="宋体" w:eastAsia="宋体" w:cs="宋体"/>
                <w:bCs/>
                <w:color w:val="auto"/>
                <w:kern w:val="0"/>
                <w:szCs w:val="21"/>
              </w:rPr>
              <w:t>编制危险化学品安全和工伤预防知识题库1套；</w:t>
            </w:r>
          </w:p>
          <w:p>
            <w:pPr>
              <w:pStyle w:val="28"/>
              <w:tabs>
                <w:tab w:val="left" w:pos="851"/>
              </w:tabs>
              <w:rPr>
                <w:rFonts w:hint="eastAsia" w:ascii="Times New Roman" w:hAnsi="宋体" w:eastAsia="宋体" w:cs="宋体"/>
                <w:bCs/>
                <w:color w:val="auto"/>
                <w:kern w:val="0"/>
                <w:szCs w:val="21"/>
              </w:rPr>
            </w:pPr>
            <w:r>
              <w:rPr>
                <w:rFonts w:hint="eastAsia" w:ascii="Times New Roman" w:hAnsi="宋体" w:eastAsia="宋体" w:cs="宋体"/>
                <w:bCs/>
                <w:color w:val="auto"/>
                <w:kern w:val="0"/>
                <w:szCs w:val="21"/>
                <w:lang w:val="en-US" w:eastAsia="zh-CN"/>
              </w:rPr>
              <w:t>7.</w:t>
            </w:r>
            <w:r>
              <w:rPr>
                <w:rFonts w:hint="eastAsia" w:ascii="Times New Roman" w:hAnsi="宋体" w:eastAsia="宋体" w:cs="宋体"/>
                <w:bCs/>
                <w:color w:val="auto"/>
                <w:kern w:val="0"/>
                <w:szCs w:val="21"/>
                <w:lang w:eastAsia="zh-CN"/>
              </w:rPr>
              <w:t>汇总</w:t>
            </w:r>
            <w:r>
              <w:rPr>
                <w:rFonts w:hint="eastAsia" w:ascii="Times New Roman" w:hAnsi="宋体" w:eastAsia="宋体" w:cs="宋体"/>
                <w:bCs/>
                <w:color w:val="auto"/>
                <w:kern w:val="0"/>
                <w:szCs w:val="21"/>
              </w:rPr>
              <w:t>编制工伤预防教育培训课件1套；</w:t>
            </w:r>
          </w:p>
          <w:p>
            <w:pPr>
              <w:pStyle w:val="28"/>
              <w:tabs>
                <w:tab w:val="left" w:pos="851"/>
              </w:tabs>
              <w:rPr>
                <w:rFonts w:hint="eastAsia" w:ascii="Times New Roman" w:hAnsi="宋体" w:eastAsia="宋体" w:cs="宋体"/>
                <w:bCs/>
                <w:color w:val="auto"/>
                <w:kern w:val="0"/>
                <w:szCs w:val="21"/>
              </w:rPr>
            </w:pPr>
            <w:r>
              <w:rPr>
                <w:rFonts w:hint="eastAsia" w:ascii="Times New Roman" w:hAnsi="宋体" w:eastAsia="宋体" w:cs="宋体"/>
                <w:bCs/>
                <w:color w:val="auto"/>
                <w:kern w:val="0"/>
                <w:szCs w:val="21"/>
                <w:lang w:val="en-US" w:eastAsia="zh-CN"/>
              </w:rPr>
              <w:t>8.</w:t>
            </w:r>
            <w:r>
              <w:rPr>
                <w:rFonts w:hint="eastAsia" w:ascii="Times New Roman" w:hAnsi="宋体" w:eastAsia="宋体" w:cs="宋体"/>
                <w:bCs/>
                <w:color w:val="auto"/>
                <w:kern w:val="0"/>
                <w:szCs w:val="21"/>
              </w:rPr>
              <w:t>线下开展危险化学品安全和工伤预防培训人数不少于1</w:t>
            </w:r>
            <w:r>
              <w:rPr>
                <w:rFonts w:hint="eastAsia" w:ascii="Times New Roman" w:hAnsi="宋体" w:eastAsia="宋体" w:cs="宋体"/>
                <w:bCs/>
                <w:color w:val="auto"/>
                <w:kern w:val="0"/>
                <w:szCs w:val="21"/>
                <w:lang w:val="en-US" w:eastAsia="zh-CN"/>
              </w:rPr>
              <w:t>32</w:t>
            </w:r>
            <w:r>
              <w:rPr>
                <w:rFonts w:hint="eastAsia" w:ascii="Times New Roman" w:hAnsi="宋体" w:eastAsia="宋体" w:cs="宋体"/>
                <w:bCs/>
                <w:color w:val="auto"/>
                <w:kern w:val="0"/>
                <w:szCs w:val="21"/>
              </w:rPr>
              <w:t>0人</w:t>
            </w:r>
            <w:r>
              <w:rPr>
                <w:rFonts w:hint="eastAsia" w:ascii="Times New Roman" w:hAnsi="宋体" w:eastAsia="宋体" w:cs="宋体"/>
                <w:bCs/>
                <w:color w:val="auto"/>
                <w:kern w:val="0"/>
                <w:szCs w:val="21"/>
                <w:lang w:val="en-US" w:eastAsia="zh-CN"/>
              </w:rPr>
              <w:t>，</w:t>
            </w:r>
            <w:r>
              <w:rPr>
                <w:rFonts w:hint="eastAsia" w:hAnsi="宋体" w:cs="宋体"/>
                <w:bCs/>
                <w:color w:val="auto"/>
                <w:kern w:val="0"/>
                <w:szCs w:val="21"/>
                <w:lang w:val="en-US" w:eastAsia="zh-CN"/>
              </w:rPr>
              <w:t>线上</w:t>
            </w:r>
            <w:bookmarkStart w:id="2" w:name="_GoBack"/>
            <w:bookmarkEnd w:id="2"/>
            <w:r>
              <w:rPr>
                <w:rFonts w:hint="eastAsia" w:hAnsi="宋体" w:cs="宋体"/>
                <w:bCs/>
                <w:color w:val="auto"/>
                <w:kern w:val="0"/>
                <w:szCs w:val="21"/>
                <w:lang w:val="en-US" w:eastAsia="zh-CN"/>
              </w:rPr>
              <w:t>人数不少于1000人，</w:t>
            </w:r>
            <w:r>
              <w:rPr>
                <w:rFonts w:hint="eastAsia" w:ascii="Times New Roman" w:hAnsi="宋体" w:eastAsia="宋体" w:cs="宋体"/>
                <w:bCs/>
                <w:color w:val="auto"/>
                <w:kern w:val="0"/>
                <w:szCs w:val="21"/>
                <w:lang w:eastAsia="zh-CN"/>
              </w:rPr>
              <w:t>并按要求分别组织上述人员完成培训考核且取得合格以上成绩</w:t>
            </w:r>
            <w:r>
              <w:rPr>
                <w:rFonts w:hint="eastAsia" w:ascii="Times New Roman" w:hAnsi="宋体" w:eastAsia="宋体" w:cs="宋体"/>
                <w:bCs/>
                <w:color w:val="auto"/>
                <w:kern w:val="0"/>
                <w:szCs w:val="21"/>
                <w:lang w:val="en-US" w:eastAsia="zh-CN"/>
              </w:rPr>
              <w:t>，</w:t>
            </w:r>
            <w:r>
              <w:rPr>
                <w:rFonts w:hint="eastAsia" w:ascii="Times New Roman" w:hAnsi="宋体" w:eastAsia="宋体" w:cs="宋体"/>
                <w:bCs/>
                <w:color w:val="auto"/>
                <w:kern w:val="0"/>
                <w:szCs w:val="21"/>
              </w:rPr>
              <w:t>培训对象为：</w:t>
            </w:r>
          </w:p>
          <w:p>
            <w:pPr>
              <w:pStyle w:val="28"/>
              <w:tabs>
                <w:tab w:val="left" w:pos="851"/>
              </w:tabs>
              <w:rPr>
                <w:rFonts w:hAnsi="宋体" w:cs="宋体"/>
                <w:bCs/>
                <w:color w:val="auto"/>
                <w:kern w:val="0"/>
                <w:szCs w:val="21"/>
              </w:rPr>
            </w:pPr>
            <w:r>
              <w:rPr>
                <w:rFonts w:hint="eastAsia" w:ascii="Times New Roman" w:hAnsi="宋体" w:eastAsia="宋体" w:cs="宋体"/>
                <w:bCs/>
                <w:color w:val="auto"/>
                <w:kern w:val="0"/>
                <w:szCs w:val="21"/>
              </w:rPr>
              <w:t>1）重大危险源企业、危险化学品生产</w:t>
            </w:r>
            <w:r>
              <w:rPr>
                <w:rFonts w:hint="eastAsia" w:hAnsi="宋体" w:cs="宋体"/>
                <w:bCs/>
                <w:color w:val="auto"/>
                <w:kern w:val="0"/>
                <w:szCs w:val="21"/>
              </w:rPr>
              <w:t>经营企业、化学合成类药品生产企业“三类人员”；</w:t>
            </w:r>
          </w:p>
          <w:p>
            <w:pPr>
              <w:pStyle w:val="28"/>
              <w:tabs>
                <w:tab w:val="left" w:pos="851"/>
              </w:tabs>
              <w:rPr>
                <w:rFonts w:hAnsi="宋体" w:cs="宋体"/>
                <w:bCs/>
                <w:color w:val="auto"/>
                <w:kern w:val="0"/>
                <w:szCs w:val="21"/>
              </w:rPr>
            </w:pPr>
            <w:r>
              <w:rPr>
                <w:rFonts w:hint="eastAsia" w:hAnsi="宋体" w:cs="宋体"/>
                <w:bCs/>
                <w:color w:val="auto"/>
                <w:kern w:val="0"/>
                <w:szCs w:val="21"/>
              </w:rPr>
              <w:t>2）加油站、储存设施未构成重大危险源的危险化学品带储存经营企业的主要负责人、专职安全管理人员和一线班组长。</w:t>
            </w:r>
          </w:p>
          <w:p>
            <w:pPr>
              <w:pStyle w:val="28"/>
              <w:tabs>
                <w:tab w:val="left" w:pos="851"/>
              </w:tabs>
              <w:ind w:firstLine="0" w:firstLineChars="0"/>
              <w:rPr>
                <w:rFonts w:ascii="宋体" w:hAnsi="宋体"/>
                <w:b/>
                <w:bCs/>
                <w:snapToGrid w:val="0"/>
                <w:color w:val="auto"/>
                <w:kern w:val="0"/>
              </w:rPr>
            </w:pPr>
            <w:r>
              <w:rPr>
                <w:rFonts w:hint="eastAsia" w:ascii="宋体" w:hAnsi="宋体"/>
                <w:b/>
                <w:bCs/>
                <w:snapToGrid w:val="0"/>
                <w:color w:val="auto"/>
                <w:kern w:val="0"/>
              </w:rPr>
              <w:t>2.服务</w:t>
            </w:r>
            <w:r>
              <w:rPr>
                <w:rFonts w:ascii="宋体" w:hAnsi="宋体"/>
                <w:b/>
                <w:bCs/>
                <w:snapToGrid w:val="0"/>
                <w:color w:val="auto"/>
                <w:kern w:val="0"/>
              </w:rPr>
              <w:t>要求</w:t>
            </w:r>
          </w:p>
          <w:p>
            <w:pPr>
              <w:pStyle w:val="28"/>
              <w:tabs>
                <w:tab w:val="left" w:pos="851"/>
              </w:tabs>
              <w:rPr>
                <w:rFonts w:hAnsi="宋体" w:cs="宋体"/>
                <w:bCs/>
                <w:color w:val="auto"/>
                <w:kern w:val="0"/>
                <w:szCs w:val="21"/>
              </w:rPr>
            </w:pPr>
            <w:r>
              <w:rPr>
                <w:rFonts w:hint="eastAsia" w:hAnsi="宋体" w:cs="宋体"/>
                <w:bCs/>
                <w:color w:val="auto"/>
                <w:kern w:val="0"/>
                <w:szCs w:val="21"/>
              </w:rPr>
              <w:t>1.教育培训成品符合委托方要求，按时完成工伤预防教育培训项目要求的工作内容，并在既定目标范围内教育培训全覆盖。</w:t>
            </w:r>
          </w:p>
          <w:p>
            <w:pPr>
              <w:pStyle w:val="28"/>
              <w:tabs>
                <w:tab w:val="left" w:pos="851"/>
              </w:tabs>
              <w:rPr>
                <w:rFonts w:hAnsi="宋体" w:cs="宋体"/>
                <w:bCs/>
                <w:color w:val="auto"/>
                <w:kern w:val="0"/>
                <w:szCs w:val="21"/>
              </w:rPr>
            </w:pPr>
            <w:r>
              <w:rPr>
                <w:rFonts w:hint="eastAsia" w:hAnsi="宋体" w:cs="宋体"/>
                <w:bCs/>
                <w:color w:val="auto"/>
                <w:kern w:val="0"/>
                <w:szCs w:val="21"/>
              </w:rPr>
              <w:t>2.按时完成工伤预防培训项目要求的工作内容，收益企业或职工满意率大于85%，培训对象的知识、信念和行为分值提高大于15%，培训后跟踪回访6个月，用人单位工伤事故发生率下降10%至15%。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0" w:hRule="atLeast"/>
        </w:trPr>
        <w:tc>
          <w:tcPr>
            <w:tcW w:w="526" w:type="dxa"/>
            <w:vAlign w:val="center"/>
          </w:tcPr>
          <w:p>
            <w:pPr>
              <w:jc w:val="center"/>
              <w:rPr>
                <w:rFonts w:ascii="宋体" w:hAnsi="宋体" w:cs="宋体"/>
                <w:color w:val="auto"/>
                <w:kern w:val="0"/>
                <w:szCs w:val="21"/>
              </w:rPr>
            </w:pPr>
            <w:r>
              <w:rPr>
                <w:rFonts w:hint="eastAsia" w:ascii="宋体" w:hAnsi="宋体" w:cs="宋体"/>
                <w:color w:val="auto"/>
                <w:kern w:val="0"/>
                <w:szCs w:val="21"/>
              </w:rPr>
              <w:t>商务需求</w:t>
            </w:r>
          </w:p>
        </w:tc>
        <w:tc>
          <w:tcPr>
            <w:tcW w:w="8812" w:type="dxa"/>
            <w:gridSpan w:val="8"/>
          </w:tcPr>
          <w:p>
            <w:pPr>
              <w:numPr>
                <w:ilvl w:val="0"/>
                <w:numId w:val="1"/>
              </w:numPr>
              <w:rPr>
                <w:color w:val="auto"/>
              </w:rPr>
            </w:pPr>
            <w:r>
              <w:rPr>
                <w:rFonts w:hint="eastAsia"/>
                <w:b/>
                <w:bCs/>
                <w:color w:val="auto"/>
              </w:rPr>
              <w:t>服务期限</w:t>
            </w:r>
            <w:r>
              <w:rPr>
                <w:rFonts w:hint="eastAsia"/>
                <w:color w:val="auto"/>
              </w:rPr>
              <w:t>：</w:t>
            </w:r>
          </w:p>
          <w:p>
            <w:pPr>
              <w:pStyle w:val="5"/>
              <w:ind w:firstLine="420" w:firstLineChars="200"/>
              <w:rPr>
                <w:color w:val="auto"/>
              </w:rPr>
            </w:pPr>
            <w:r>
              <w:rPr>
                <w:rFonts w:hint="eastAsia"/>
                <w:color w:val="auto"/>
                <w:lang w:eastAsia="zh-Hans"/>
              </w:rPr>
              <w:t>项目自合同签订之日起至202</w:t>
            </w:r>
            <w:r>
              <w:rPr>
                <w:color w:val="auto"/>
                <w:lang w:eastAsia="zh-Hans"/>
              </w:rPr>
              <w:t>3</w:t>
            </w:r>
            <w:r>
              <w:rPr>
                <w:rFonts w:hint="eastAsia"/>
                <w:color w:val="auto"/>
                <w:lang w:eastAsia="zh-Hans"/>
              </w:rPr>
              <w:t>年</w:t>
            </w:r>
            <w:r>
              <w:rPr>
                <w:color w:val="auto"/>
                <w:lang w:eastAsia="zh-Hans"/>
              </w:rPr>
              <w:t>11</w:t>
            </w:r>
            <w:r>
              <w:rPr>
                <w:rFonts w:hint="eastAsia"/>
                <w:color w:val="auto"/>
                <w:lang w:eastAsia="zh-Hans"/>
              </w:rPr>
              <w:t>月</w:t>
            </w:r>
            <w:r>
              <w:rPr>
                <w:color w:val="auto"/>
              </w:rPr>
              <w:t>30</w:t>
            </w:r>
            <w:r>
              <w:rPr>
                <w:rFonts w:hint="eastAsia"/>
                <w:color w:val="auto"/>
                <w:lang w:eastAsia="zh-Hans"/>
              </w:rPr>
              <w:t>日。</w:t>
            </w:r>
          </w:p>
          <w:p>
            <w:pPr>
              <w:numPr>
                <w:ilvl w:val="0"/>
                <w:numId w:val="1"/>
              </w:numPr>
              <w:rPr>
                <w:b/>
                <w:bCs/>
                <w:color w:val="auto"/>
              </w:rPr>
            </w:pPr>
            <w:r>
              <w:rPr>
                <w:rFonts w:hint="eastAsia"/>
                <w:b/>
                <w:bCs/>
                <w:color w:val="auto"/>
              </w:rPr>
              <w:t>项目成果</w:t>
            </w:r>
          </w:p>
          <w:p>
            <w:pPr>
              <w:pStyle w:val="5"/>
              <w:ind w:firstLine="420" w:firstLineChars="200"/>
              <w:rPr>
                <w:color w:val="auto"/>
                <w:lang w:eastAsia="zh-Hans"/>
              </w:rPr>
            </w:pPr>
            <w:r>
              <w:rPr>
                <w:rFonts w:hint="eastAsia"/>
                <w:color w:val="auto"/>
                <w:lang w:eastAsia="zh-Hans"/>
              </w:rPr>
              <w:t>各类培训教材</w:t>
            </w:r>
            <w:r>
              <w:rPr>
                <w:rFonts w:hint="eastAsia"/>
                <w:color w:val="auto"/>
              </w:rPr>
              <w:t>、题库及项目总结等。</w:t>
            </w:r>
          </w:p>
          <w:p>
            <w:pPr>
              <w:numPr>
                <w:ilvl w:val="0"/>
                <w:numId w:val="1"/>
              </w:numPr>
              <w:rPr>
                <w:b/>
                <w:bCs/>
                <w:color w:val="auto"/>
              </w:rPr>
            </w:pPr>
            <w:r>
              <w:rPr>
                <w:rFonts w:hint="eastAsia"/>
                <w:b/>
                <w:bCs/>
                <w:color w:val="auto"/>
              </w:rPr>
              <w:t>验收要求</w:t>
            </w:r>
          </w:p>
          <w:p>
            <w:pPr>
              <w:pStyle w:val="5"/>
              <w:ind w:firstLine="420" w:firstLineChars="200"/>
              <w:rPr>
                <w:color w:val="auto"/>
              </w:rPr>
            </w:pPr>
            <w:r>
              <w:rPr>
                <w:rFonts w:hint="eastAsia"/>
                <w:color w:val="auto"/>
              </w:rPr>
              <w:t>相关成果应通过采购方验收要求。</w:t>
            </w:r>
          </w:p>
          <w:p>
            <w:pPr>
              <w:rPr>
                <w:color w:val="auto"/>
              </w:rPr>
            </w:pPr>
            <w:r>
              <w:rPr>
                <w:rFonts w:hint="eastAsia"/>
                <w:b/>
                <w:bCs/>
                <w:color w:val="auto"/>
              </w:rPr>
              <w:t>（</w:t>
            </w:r>
            <w:r>
              <w:rPr>
                <w:rFonts w:hint="eastAsia"/>
                <w:b/>
                <w:bCs/>
                <w:color w:val="auto"/>
                <w:lang w:val="en-US" w:eastAsia="zh-CN"/>
              </w:rPr>
              <w:t>四</w:t>
            </w:r>
            <w:r>
              <w:rPr>
                <w:rFonts w:hint="eastAsia"/>
                <w:b/>
                <w:bCs/>
                <w:color w:val="auto"/>
              </w:rPr>
              <w:t>）付款方式</w:t>
            </w:r>
            <w:r>
              <w:rPr>
                <w:rFonts w:hint="eastAsia"/>
                <w:color w:val="auto"/>
              </w:rPr>
              <w:t>：</w:t>
            </w:r>
          </w:p>
          <w:p>
            <w:pPr>
              <w:ind w:firstLine="420" w:firstLineChars="200"/>
              <w:rPr>
                <w:color w:val="auto"/>
              </w:rPr>
            </w:pPr>
            <w:r>
              <w:rPr>
                <w:rFonts w:hint="eastAsia"/>
                <w:color w:val="auto"/>
              </w:rPr>
              <w:t>按合同要求，完成相关工作，提交相关资料，通过验收后，我局一次性支付项目合同总额。</w:t>
            </w:r>
          </w:p>
          <w:p>
            <w:pPr>
              <w:ind w:firstLine="420" w:firstLineChars="200"/>
              <w:rPr>
                <w:color w:val="auto"/>
              </w:rPr>
            </w:pPr>
            <w:r>
              <w:rPr>
                <w:rFonts w:hint="eastAsia"/>
                <w:color w:val="auto"/>
              </w:rPr>
              <w:t>中标人需在采购人付款前向采购人开具正式发票进行结算。</w:t>
            </w:r>
          </w:p>
          <w:p>
            <w:pPr>
              <w:ind w:firstLine="420" w:firstLineChars="200"/>
              <w:rPr>
                <w:color w:val="auto"/>
              </w:rPr>
            </w:pPr>
            <w:r>
              <w:rPr>
                <w:rFonts w:hint="eastAsia"/>
                <w:color w:val="auto"/>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上述款项中标人应按照采购人的要求及流程申请付款，采购人按照财政支付程序办理付款手续，且在拨款到位后支付。</w:t>
            </w:r>
          </w:p>
          <w:p>
            <w:pPr>
              <w:ind w:firstLine="420" w:firstLineChars="200"/>
              <w:rPr>
                <w:rFonts w:hint="eastAsia"/>
                <w:color w:val="auto"/>
              </w:rPr>
            </w:pPr>
            <w:r>
              <w:rPr>
                <w:rFonts w:hint="eastAsia"/>
                <w:color w:val="auto"/>
              </w:rPr>
              <w:t>特别提示：若因中标人原因或财政拨款问题导致的迟延支付，采购人不承担任何责任。</w:t>
            </w:r>
            <w:r>
              <w:rPr>
                <w:rFonts w:hint="eastAsia"/>
                <w:color w:val="auto"/>
              </w:rPr>
              <w:br w:type="textWrapping"/>
            </w:r>
            <w:r>
              <w:rPr>
                <w:rFonts w:hint="eastAsia"/>
                <w:b/>
                <w:bCs/>
                <w:color w:val="auto"/>
              </w:rPr>
              <w:t>（</w:t>
            </w:r>
            <w:r>
              <w:rPr>
                <w:rFonts w:hint="eastAsia"/>
                <w:b/>
                <w:bCs/>
                <w:color w:val="auto"/>
                <w:lang w:val="en-US" w:eastAsia="zh-CN"/>
              </w:rPr>
              <w:t>五</w:t>
            </w:r>
            <w:r>
              <w:rPr>
                <w:rFonts w:hint="eastAsia"/>
                <w:b/>
                <w:bCs/>
                <w:color w:val="auto"/>
              </w:rPr>
              <w:t>）</w:t>
            </w:r>
            <w:r>
              <w:rPr>
                <w:rFonts w:hint="eastAsia"/>
                <w:b/>
                <w:bCs/>
                <w:color w:val="auto"/>
                <w:lang w:val="en-US" w:eastAsia="zh-CN"/>
              </w:rPr>
              <w:t>知识产权</w:t>
            </w:r>
            <w:r>
              <w:rPr>
                <w:rFonts w:hint="eastAsia"/>
                <w:b/>
                <w:bCs/>
                <w:color w:val="auto"/>
              </w:rPr>
              <w:t>：</w:t>
            </w:r>
          </w:p>
          <w:p>
            <w:pPr>
              <w:ind w:firstLine="420" w:firstLineChars="200"/>
              <w:rPr>
                <w:rFonts w:hint="eastAsia"/>
                <w:color w:val="auto"/>
              </w:rPr>
            </w:pPr>
            <w:r>
              <w:rPr>
                <w:rFonts w:hint="eastAsia"/>
                <w:color w:val="auto"/>
                <w:lang w:val="en-US" w:eastAsia="zh-CN"/>
              </w:rPr>
              <w:t>1.</w:t>
            </w:r>
            <w:r>
              <w:rPr>
                <w:rFonts w:hint="eastAsia"/>
                <w:color w:val="auto"/>
              </w:rPr>
              <w:t>中标人在履行合同的过程中不得侵犯他人产权，不得提供虚假知识产权申请材料或者违背知识产权合规性承诺，否则依法追究其违约等责任，并将其失信违法信息依法纳入公共信用信息系统。</w:t>
            </w:r>
          </w:p>
          <w:p>
            <w:pPr>
              <w:ind w:firstLine="420" w:firstLineChars="200"/>
              <w:rPr>
                <w:rFonts w:hint="eastAsia" w:ascii="宋体" w:hAnsi="宋体" w:cs="宋体" w:eastAsiaTheme="minorEastAsia"/>
                <w:color w:val="auto"/>
                <w:kern w:val="0"/>
                <w:szCs w:val="21"/>
                <w:lang w:val="en-US" w:eastAsia="zh-CN"/>
              </w:rPr>
            </w:pPr>
            <w:r>
              <w:rPr>
                <w:rFonts w:hint="eastAsia"/>
                <w:color w:val="auto"/>
                <w:lang w:val="en-US" w:eastAsia="zh-CN"/>
              </w:rPr>
              <w:t>2.</w:t>
            </w:r>
            <w:r>
              <w:rPr>
                <w:rFonts w:hint="eastAsia"/>
                <w:color w:val="auto"/>
              </w:rPr>
              <w:t>中标人应保证采购人在使用该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b/>
                <w:color w:val="auto"/>
                <w:szCs w:val="21"/>
              </w:rPr>
            </w:pPr>
            <w:r>
              <w:rPr>
                <w:rFonts w:hint="eastAsia" w:ascii="新宋体" w:hAnsi="新宋体" w:eastAsia="新宋体"/>
                <w:b/>
                <w:color w:val="auto"/>
                <w:szCs w:val="21"/>
              </w:rPr>
              <w:t>序号</w:t>
            </w:r>
          </w:p>
        </w:tc>
        <w:tc>
          <w:tcPr>
            <w:tcW w:w="296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b/>
                <w:color w:val="auto"/>
                <w:szCs w:val="21"/>
              </w:rPr>
            </w:pPr>
            <w:r>
              <w:rPr>
                <w:rFonts w:hint="eastAsia" w:ascii="新宋体" w:hAnsi="新宋体" w:eastAsia="新宋体"/>
                <w:b/>
                <w:color w:val="auto"/>
                <w:szCs w:val="21"/>
              </w:rPr>
              <w:t>评分项</w:t>
            </w:r>
          </w:p>
        </w:tc>
        <w:tc>
          <w:tcPr>
            <w:tcW w:w="563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b/>
                <w:color w:val="auto"/>
                <w:szCs w:val="21"/>
              </w:rPr>
            </w:pPr>
            <w:r>
              <w:rPr>
                <w:rFonts w:hint="eastAsia" w:ascii="新宋体" w:hAnsi="新宋体" w:eastAsia="新宋体"/>
                <w:b/>
                <w:color w:val="auto"/>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b/>
                <w:color w:val="auto"/>
                <w:szCs w:val="21"/>
              </w:rPr>
            </w:pPr>
            <w:r>
              <w:rPr>
                <w:rFonts w:ascii="新宋体" w:hAnsi="新宋体" w:eastAsia="新宋体"/>
                <w:b/>
                <w:color w:val="auto"/>
                <w:szCs w:val="21"/>
              </w:rPr>
              <w:t>1</w:t>
            </w:r>
          </w:p>
        </w:tc>
        <w:tc>
          <w:tcPr>
            <w:tcW w:w="296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b/>
                <w:color w:val="auto"/>
                <w:szCs w:val="21"/>
              </w:rPr>
            </w:pPr>
            <w:r>
              <w:rPr>
                <w:rFonts w:hint="eastAsia" w:ascii="新宋体" w:hAnsi="新宋体" w:eastAsia="新宋体"/>
                <w:b/>
                <w:color w:val="auto"/>
                <w:szCs w:val="21"/>
              </w:rPr>
              <w:t>价格</w:t>
            </w:r>
          </w:p>
        </w:tc>
        <w:tc>
          <w:tcPr>
            <w:tcW w:w="563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b/>
                <w:color w:val="auto"/>
                <w:szCs w:val="21"/>
              </w:rPr>
            </w:pPr>
            <w:r>
              <w:rPr>
                <w:rFonts w:hint="eastAsia" w:ascii="新宋体" w:hAnsi="新宋体" w:eastAsia="新宋体"/>
                <w:b/>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b/>
                <w:color w:val="auto"/>
                <w:szCs w:val="21"/>
              </w:rPr>
            </w:pPr>
            <w:r>
              <w:rPr>
                <w:rFonts w:ascii="新宋体" w:hAnsi="新宋体" w:eastAsia="新宋体"/>
                <w:b/>
                <w:color w:val="auto"/>
                <w:szCs w:val="21"/>
              </w:rPr>
              <w:t>2</w:t>
            </w:r>
          </w:p>
        </w:tc>
        <w:tc>
          <w:tcPr>
            <w:tcW w:w="296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b/>
                <w:color w:val="auto"/>
                <w:szCs w:val="21"/>
              </w:rPr>
            </w:pPr>
            <w:r>
              <w:rPr>
                <w:rFonts w:hint="eastAsia" w:ascii="新宋体" w:hAnsi="新宋体" w:eastAsia="新宋体"/>
                <w:b/>
                <w:color w:val="auto"/>
                <w:szCs w:val="21"/>
              </w:rPr>
              <w:t>技术</w:t>
            </w:r>
          </w:p>
        </w:tc>
        <w:tc>
          <w:tcPr>
            <w:tcW w:w="563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b/>
                <w:color w:val="auto"/>
                <w:szCs w:val="21"/>
              </w:rPr>
            </w:pPr>
            <w:r>
              <w:rPr>
                <w:rFonts w:hint="eastAsia" w:ascii="新宋体" w:hAnsi="新宋体" w:eastAsia="新宋体"/>
                <w:b/>
                <w:color w:val="auto"/>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 w:hRule="atLeast"/>
          <w:jc w:val="center"/>
        </w:trPr>
        <w:tc>
          <w:tcPr>
            <w:tcW w:w="734" w:type="dxa"/>
            <w:gridSpan w:val="2"/>
            <w:vMerge w:val="restart"/>
            <w:tcBorders>
              <w:top w:val="single" w:color="auto" w:sz="4" w:space="0"/>
              <w:left w:val="single" w:color="auto" w:sz="4" w:space="0"/>
              <w:right w:val="single" w:color="auto" w:sz="4" w:space="0"/>
            </w:tcBorders>
            <w:vAlign w:val="center"/>
          </w:tcPr>
          <w:p>
            <w:pPr>
              <w:rPr>
                <w:rFonts w:ascii="新宋体" w:hAnsi="新宋体" w:eastAsia="新宋体"/>
                <w:color w:val="auto"/>
                <w:szCs w:val="21"/>
              </w:rPr>
            </w:pP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行号</w:t>
            </w:r>
          </w:p>
        </w:tc>
        <w:tc>
          <w:tcPr>
            <w:tcW w:w="11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内容</w:t>
            </w: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权重</w:t>
            </w:r>
          </w:p>
        </w:tc>
        <w:tc>
          <w:tcPr>
            <w:tcW w:w="563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5" w:hRule="atLeast"/>
          <w:jc w:val="center"/>
        </w:trPr>
        <w:tc>
          <w:tcPr>
            <w:tcW w:w="734" w:type="dxa"/>
            <w:gridSpan w:val="2"/>
            <w:vMerge w:val="continue"/>
            <w:tcBorders>
              <w:left w:val="single" w:color="auto" w:sz="4" w:space="0"/>
              <w:right w:val="single" w:color="auto" w:sz="4" w:space="0"/>
            </w:tcBorders>
            <w:vAlign w:val="center"/>
          </w:tcPr>
          <w:p>
            <w:pPr>
              <w:rPr>
                <w:rFonts w:ascii="新宋体" w:hAnsi="新宋体" w:eastAsia="新宋体"/>
                <w:color w:val="auto"/>
                <w:szCs w:val="21"/>
              </w:rPr>
            </w:pP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ascii="新宋体" w:hAnsi="新宋体" w:eastAsia="新宋体"/>
                <w:color w:val="auto"/>
                <w:szCs w:val="21"/>
              </w:rPr>
              <w:t>1</w:t>
            </w:r>
          </w:p>
        </w:tc>
        <w:tc>
          <w:tcPr>
            <w:tcW w:w="11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实施方案</w:t>
            </w: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15</w:t>
            </w:r>
          </w:p>
        </w:tc>
        <w:tc>
          <w:tcPr>
            <w:tcW w:w="5637" w:type="dxa"/>
            <w:gridSpan w:val="3"/>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b/>
                <w:bCs/>
                <w:color w:val="auto"/>
                <w:szCs w:val="21"/>
              </w:rPr>
            </w:pPr>
            <w:r>
              <w:rPr>
                <w:rFonts w:hint="eastAsia" w:ascii="新宋体" w:hAnsi="新宋体" w:eastAsia="新宋体"/>
                <w:b/>
                <w:bCs/>
                <w:color w:val="auto"/>
                <w:szCs w:val="21"/>
              </w:rPr>
              <w:t>评审内容：</w:t>
            </w:r>
          </w:p>
          <w:p>
            <w:pPr>
              <w:rPr>
                <w:rFonts w:ascii="新宋体" w:hAnsi="新宋体" w:eastAsia="新宋体"/>
                <w:color w:val="auto"/>
                <w:szCs w:val="21"/>
              </w:rPr>
            </w:pPr>
            <w:r>
              <w:rPr>
                <w:rFonts w:hint="eastAsia"/>
                <w:color w:val="auto"/>
              </w:rPr>
              <w:t>根据供应商所提供的实施方案（包括项目背景分析、工作内容、技术路线、时间和人员安排、预期成果等）进行评审</w:t>
            </w:r>
            <w:r>
              <w:rPr>
                <w:rFonts w:hint="eastAsia" w:ascii="新宋体" w:hAnsi="新宋体" w:eastAsia="新宋体"/>
                <w:color w:val="auto"/>
                <w:szCs w:val="21"/>
              </w:rPr>
              <w:t>。</w:t>
            </w:r>
          </w:p>
          <w:p>
            <w:pPr>
              <w:rPr>
                <w:rFonts w:ascii="新宋体" w:hAnsi="新宋体" w:eastAsia="新宋体"/>
                <w:b/>
                <w:bCs/>
                <w:color w:val="auto"/>
                <w:szCs w:val="21"/>
              </w:rPr>
            </w:pPr>
            <w:r>
              <w:rPr>
                <w:rFonts w:hint="eastAsia" w:ascii="新宋体" w:hAnsi="新宋体" w:eastAsia="新宋体"/>
                <w:b/>
                <w:bCs/>
                <w:color w:val="auto"/>
                <w:szCs w:val="21"/>
              </w:rPr>
              <w:t>评分标准：</w:t>
            </w:r>
          </w:p>
          <w:p>
            <w:pPr>
              <w:rPr>
                <w:rFonts w:ascii="新宋体" w:hAnsi="新宋体" w:eastAsia="新宋体"/>
                <w:color w:val="auto"/>
                <w:szCs w:val="21"/>
              </w:rPr>
            </w:pPr>
            <w:r>
              <w:rPr>
                <w:rFonts w:hint="eastAsia" w:ascii="新宋体" w:hAnsi="新宋体" w:eastAsia="新宋体"/>
                <w:color w:val="auto"/>
                <w:szCs w:val="21"/>
              </w:rPr>
              <w:t>1.优：工作内容详实，技术路线可行，具体步骤及解决关键性问题的研究途径详尽并具有可操作性，预期成果完整的，得15分；</w:t>
            </w:r>
            <w:r>
              <w:rPr>
                <w:rFonts w:hint="eastAsia" w:ascii="新宋体" w:hAnsi="新宋体" w:eastAsia="新宋体"/>
                <w:color w:val="auto"/>
                <w:szCs w:val="21"/>
              </w:rPr>
              <w:br w:type="textWrapping"/>
            </w:r>
            <w:r>
              <w:rPr>
                <w:rFonts w:hint="eastAsia" w:ascii="新宋体" w:hAnsi="新宋体" w:eastAsia="新宋体"/>
                <w:color w:val="auto"/>
                <w:szCs w:val="21"/>
              </w:rPr>
              <w:t>2.良：工作内容比较详实，技术路线比较可行，具体步骤及解决关键性问题的研究途径比较详尽，可操作性较强，预期成果比较完整为的，得10分；</w:t>
            </w:r>
            <w:r>
              <w:rPr>
                <w:rFonts w:hint="eastAsia" w:ascii="新宋体" w:hAnsi="新宋体" w:eastAsia="新宋体"/>
                <w:color w:val="auto"/>
                <w:szCs w:val="21"/>
              </w:rPr>
              <w:br w:type="textWrapping"/>
            </w:r>
            <w:r>
              <w:rPr>
                <w:rFonts w:hint="eastAsia" w:ascii="新宋体" w:hAnsi="新宋体" w:eastAsia="新宋体"/>
                <w:color w:val="auto"/>
                <w:szCs w:val="21"/>
              </w:rPr>
              <w:t>3.中：工作内容基本详实，技术路线基本可行，具体步骤及解决关键性问题的研究途径基本合理，预期成果基本完整为中的，得5分；</w:t>
            </w:r>
            <w:r>
              <w:rPr>
                <w:rFonts w:hint="eastAsia" w:ascii="新宋体" w:hAnsi="新宋体" w:eastAsia="新宋体"/>
                <w:color w:val="auto"/>
                <w:szCs w:val="21"/>
              </w:rPr>
              <w:br w:type="textWrapping"/>
            </w:r>
            <w:r>
              <w:rPr>
                <w:rFonts w:hint="eastAsia" w:ascii="新宋体" w:hAnsi="新宋体" w:eastAsia="新宋体"/>
                <w:color w:val="auto"/>
                <w:szCs w:val="21"/>
              </w:rPr>
              <w:t>4.差：其他情况或未提供方案的不得分。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 w:hRule="atLeast"/>
          <w:jc w:val="center"/>
        </w:trPr>
        <w:tc>
          <w:tcPr>
            <w:tcW w:w="734" w:type="dxa"/>
            <w:gridSpan w:val="2"/>
            <w:vMerge w:val="continue"/>
            <w:tcBorders>
              <w:left w:val="single" w:color="auto" w:sz="4" w:space="0"/>
              <w:right w:val="single" w:color="auto" w:sz="4" w:space="0"/>
            </w:tcBorders>
            <w:vAlign w:val="center"/>
          </w:tcPr>
          <w:p>
            <w:pPr>
              <w:rPr>
                <w:rFonts w:ascii="新宋体" w:hAnsi="新宋体" w:eastAsia="新宋体"/>
                <w:color w:val="auto"/>
                <w:szCs w:val="21"/>
              </w:rPr>
            </w:pP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ascii="新宋体" w:hAnsi="新宋体" w:eastAsia="新宋体"/>
                <w:color w:val="auto"/>
                <w:szCs w:val="21"/>
              </w:rPr>
              <w:t>2</w:t>
            </w:r>
          </w:p>
        </w:tc>
        <w:tc>
          <w:tcPr>
            <w:tcW w:w="11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项目重点难点分析、应对措施及相关的合理化建议</w:t>
            </w: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10</w:t>
            </w:r>
          </w:p>
        </w:tc>
        <w:tc>
          <w:tcPr>
            <w:tcW w:w="5637" w:type="dxa"/>
            <w:gridSpan w:val="3"/>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b/>
                <w:bCs/>
                <w:color w:val="auto"/>
                <w:szCs w:val="21"/>
              </w:rPr>
            </w:pPr>
            <w:r>
              <w:rPr>
                <w:rFonts w:hint="eastAsia" w:ascii="新宋体" w:hAnsi="新宋体" w:eastAsia="新宋体"/>
                <w:b/>
                <w:bCs/>
                <w:color w:val="auto"/>
                <w:szCs w:val="21"/>
              </w:rPr>
              <w:t>评审内容：</w:t>
            </w:r>
          </w:p>
          <w:p>
            <w:pPr>
              <w:rPr>
                <w:rFonts w:ascii="新宋体" w:hAnsi="新宋体" w:eastAsia="新宋体"/>
                <w:color w:val="auto"/>
                <w:szCs w:val="21"/>
              </w:rPr>
            </w:pPr>
            <w:r>
              <w:rPr>
                <w:rFonts w:hint="eastAsia" w:ascii="新宋体" w:hAnsi="新宋体" w:eastAsia="新宋体"/>
                <w:color w:val="auto"/>
                <w:szCs w:val="21"/>
              </w:rPr>
              <w:t>投标人根据本项目采购需求</w:t>
            </w:r>
            <w:r>
              <w:rPr>
                <w:rFonts w:ascii="新宋体" w:hAnsi="新宋体" w:eastAsia="新宋体"/>
                <w:color w:val="auto"/>
                <w:szCs w:val="21"/>
              </w:rPr>
              <w:t>对项目的重点难点分析，包括对受训人了解、对培训现场的掌控情况、受训人对培训程序的了解、培训现场的突发事件的处理、保证培训纪律、有效的组织项目及人员的集中培训、培训现场纪律；</w:t>
            </w:r>
            <w:r>
              <w:rPr>
                <w:rFonts w:hint="eastAsia" w:ascii="新宋体" w:hAnsi="新宋体" w:eastAsia="新宋体"/>
                <w:color w:val="auto"/>
                <w:szCs w:val="21"/>
              </w:rPr>
              <w:t>制定相应的应对措施和合理化的建议方案。</w:t>
            </w:r>
          </w:p>
          <w:p>
            <w:pPr>
              <w:rPr>
                <w:rFonts w:ascii="新宋体" w:hAnsi="新宋体" w:eastAsia="新宋体"/>
                <w:b/>
                <w:bCs/>
                <w:color w:val="auto"/>
                <w:szCs w:val="21"/>
              </w:rPr>
            </w:pPr>
            <w:r>
              <w:rPr>
                <w:rFonts w:hint="eastAsia" w:ascii="新宋体" w:hAnsi="新宋体" w:eastAsia="新宋体"/>
                <w:b/>
                <w:bCs/>
                <w:color w:val="auto"/>
                <w:szCs w:val="21"/>
              </w:rPr>
              <w:t>评分标准：</w:t>
            </w:r>
          </w:p>
          <w:p>
            <w:pPr>
              <w:rPr>
                <w:rFonts w:ascii="新宋体" w:hAnsi="新宋体" w:eastAsia="新宋体"/>
                <w:color w:val="auto"/>
                <w:szCs w:val="21"/>
              </w:rPr>
            </w:pPr>
            <w:r>
              <w:rPr>
                <w:rFonts w:hint="eastAsia" w:ascii="新宋体" w:hAnsi="新宋体" w:eastAsia="新宋体"/>
                <w:color w:val="auto"/>
                <w:szCs w:val="21"/>
              </w:rPr>
              <w:t>1.优：投标文件对项目的重难点分析透彻，应对措施以及相关建议合理可行，针对性和可操作性强）的，得10分；</w:t>
            </w:r>
            <w:r>
              <w:rPr>
                <w:rFonts w:hint="eastAsia" w:ascii="新宋体" w:hAnsi="新宋体" w:eastAsia="新宋体"/>
                <w:color w:val="auto"/>
                <w:szCs w:val="21"/>
              </w:rPr>
              <w:br w:type="textWrapping"/>
            </w:r>
            <w:r>
              <w:rPr>
                <w:rFonts w:hint="eastAsia" w:ascii="新宋体" w:hAnsi="新宋体" w:eastAsia="新宋体"/>
                <w:color w:val="auto"/>
                <w:szCs w:val="21"/>
              </w:rPr>
              <w:t>2.良：投标文件对项目的重难点分析较透彻，应对措施以及相关建议较合理，针对性和可操作性较强的，得5分；</w:t>
            </w:r>
            <w:r>
              <w:rPr>
                <w:rFonts w:hint="eastAsia" w:ascii="新宋体" w:hAnsi="新宋体" w:eastAsia="新宋体"/>
                <w:color w:val="auto"/>
                <w:szCs w:val="21"/>
              </w:rPr>
              <w:br w:type="textWrapping"/>
            </w:r>
            <w:r>
              <w:rPr>
                <w:rFonts w:hint="eastAsia" w:ascii="新宋体" w:hAnsi="新宋体" w:eastAsia="新宋体"/>
                <w:color w:val="auto"/>
                <w:szCs w:val="21"/>
              </w:rPr>
              <w:t>3.中:投标文件对项目的重难点分析水平一般，应对措施以及相关建议的针对性和可操作性一般的，得3分；</w:t>
            </w:r>
            <w:r>
              <w:rPr>
                <w:rFonts w:hint="eastAsia" w:ascii="新宋体" w:hAnsi="新宋体" w:eastAsia="新宋体"/>
                <w:color w:val="auto"/>
                <w:szCs w:val="21"/>
              </w:rPr>
              <w:br w:type="textWrapping"/>
            </w:r>
            <w:r>
              <w:rPr>
                <w:rFonts w:hint="eastAsia" w:ascii="新宋体" w:hAnsi="新宋体" w:eastAsia="新宋体"/>
                <w:color w:val="auto"/>
                <w:szCs w:val="21"/>
              </w:rPr>
              <w:t>4.差：未能提出有针对性和可行性的应对措施及合理化建议或未提供方案的，不得分。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734" w:type="dxa"/>
            <w:gridSpan w:val="2"/>
            <w:vMerge w:val="continue"/>
            <w:tcBorders>
              <w:left w:val="single" w:color="auto" w:sz="4" w:space="0"/>
              <w:right w:val="single" w:color="auto" w:sz="4" w:space="0"/>
            </w:tcBorders>
            <w:vAlign w:val="center"/>
          </w:tcPr>
          <w:p>
            <w:pPr>
              <w:rPr>
                <w:rFonts w:ascii="新宋体" w:hAnsi="新宋体" w:eastAsia="新宋体"/>
                <w:color w:val="auto"/>
                <w:szCs w:val="21"/>
              </w:rPr>
            </w:pP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ascii="新宋体" w:hAnsi="新宋体" w:eastAsia="新宋体"/>
                <w:color w:val="auto"/>
                <w:szCs w:val="21"/>
              </w:rPr>
              <w:t>3</w:t>
            </w:r>
          </w:p>
        </w:tc>
        <w:tc>
          <w:tcPr>
            <w:tcW w:w="11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质量（完成时间）保障措施及方案</w:t>
            </w: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10</w:t>
            </w:r>
          </w:p>
        </w:tc>
        <w:tc>
          <w:tcPr>
            <w:tcW w:w="5637" w:type="dxa"/>
            <w:gridSpan w:val="3"/>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b/>
                <w:bCs/>
                <w:color w:val="auto"/>
                <w:szCs w:val="21"/>
              </w:rPr>
            </w:pPr>
            <w:r>
              <w:rPr>
                <w:rFonts w:hint="eastAsia" w:ascii="新宋体" w:hAnsi="新宋体" w:eastAsia="新宋体"/>
                <w:b/>
                <w:bCs/>
                <w:color w:val="auto"/>
                <w:szCs w:val="21"/>
              </w:rPr>
              <w:t>评审内容：</w:t>
            </w:r>
          </w:p>
          <w:p>
            <w:pPr>
              <w:rPr>
                <w:rFonts w:ascii="新宋体" w:hAnsi="新宋体" w:eastAsia="新宋体"/>
                <w:color w:val="auto"/>
                <w:szCs w:val="21"/>
              </w:rPr>
            </w:pPr>
            <w:r>
              <w:rPr>
                <w:rFonts w:ascii="新宋体" w:hAnsi="新宋体" w:eastAsia="新宋体"/>
                <w:color w:val="auto"/>
                <w:szCs w:val="21"/>
              </w:rPr>
              <w:t>考察投标人的</w:t>
            </w:r>
            <w:r>
              <w:rPr>
                <w:rFonts w:hint="eastAsia" w:ascii="新宋体" w:hAnsi="新宋体" w:eastAsia="新宋体"/>
                <w:color w:val="auto"/>
                <w:szCs w:val="21"/>
              </w:rPr>
              <w:t>安全教育培训</w:t>
            </w:r>
            <w:r>
              <w:rPr>
                <w:rFonts w:ascii="新宋体" w:hAnsi="新宋体" w:eastAsia="新宋体"/>
                <w:color w:val="auto"/>
                <w:szCs w:val="21"/>
              </w:rPr>
              <w:t>工作的细则，包括培训各环节的控制、培训时间安排、培训人员及后勤人员数量、培训人员的资格、培训人员的个人能力、培训前的策划方案、未达到培训要求的后补措施、培训效果的评估、培训监督管理措施</w:t>
            </w:r>
            <w:r>
              <w:rPr>
                <w:rFonts w:hint="eastAsia" w:ascii="新宋体" w:hAnsi="新宋体" w:eastAsia="新宋体"/>
                <w:color w:val="auto"/>
                <w:szCs w:val="21"/>
              </w:rPr>
              <w:t>制定方案。</w:t>
            </w:r>
          </w:p>
          <w:p>
            <w:pPr>
              <w:rPr>
                <w:rFonts w:ascii="新宋体" w:hAnsi="新宋体" w:eastAsia="新宋体"/>
                <w:b/>
                <w:bCs/>
                <w:color w:val="auto"/>
                <w:szCs w:val="21"/>
              </w:rPr>
            </w:pPr>
            <w:r>
              <w:rPr>
                <w:rFonts w:hint="eastAsia" w:ascii="新宋体" w:hAnsi="新宋体" w:eastAsia="新宋体"/>
                <w:b/>
                <w:bCs/>
                <w:color w:val="auto"/>
                <w:szCs w:val="21"/>
              </w:rPr>
              <w:t>评分标准：</w:t>
            </w:r>
          </w:p>
          <w:p>
            <w:pPr>
              <w:rPr>
                <w:rFonts w:ascii="新宋体" w:hAnsi="新宋体" w:eastAsia="新宋体"/>
                <w:color w:val="auto"/>
                <w:szCs w:val="21"/>
              </w:rPr>
            </w:pPr>
            <w:r>
              <w:rPr>
                <w:rFonts w:hint="eastAsia" w:ascii="新宋体" w:hAnsi="新宋体" w:eastAsia="新宋体"/>
                <w:color w:val="auto"/>
                <w:szCs w:val="21"/>
              </w:rPr>
              <w:t>1.优：项目质量保障措施、信息安全保障措施、应急预案管理措施方案，详细、科学合理，能够很好地保障项目质量的，得10分；</w:t>
            </w:r>
            <w:r>
              <w:rPr>
                <w:rFonts w:hint="eastAsia" w:ascii="新宋体" w:hAnsi="新宋体" w:eastAsia="新宋体"/>
                <w:color w:val="auto"/>
                <w:szCs w:val="21"/>
              </w:rPr>
              <w:br w:type="textWrapping"/>
            </w:r>
            <w:r>
              <w:rPr>
                <w:rFonts w:hint="eastAsia" w:ascii="新宋体" w:hAnsi="新宋体" w:eastAsia="新宋体"/>
                <w:color w:val="auto"/>
                <w:szCs w:val="21"/>
              </w:rPr>
              <w:t>2.良：项目质量保障措施、信息安全保障措施、应急预案管理措施方案，较科学合理，能够较好地保障项目质量的，得5分；</w:t>
            </w:r>
            <w:r>
              <w:rPr>
                <w:rFonts w:hint="eastAsia" w:ascii="新宋体" w:hAnsi="新宋体" w:eastAsia="新宋体"/>
                <w:color w:val="auto"/>
                <w:szCs w:val="21"/>
              </w:rPr>
              <w:br w:type="textWrapping"/>
            </w:r>
            <w:r>
              <w:rPr>
                <w:rFonts w:hint="eastAsia" w:ascii="新宋体" w:hAnsi="新宋体" w:eastAsia="新宋体"/>
                <w:color w:val="auto"/>
                <w:szCs w:val="21"/>
              </w:rPr>
              <w:t>3.中：项目质量保障措施、信息安全保障措施、应急预案管理措施方案完整性一般，科学合理性水平一般，基本能够保障项目质量）的，得3分；</w:t>
            </w:r>
            <w:r>
              <w:rPr>
                <w:rFonts w:hint="eastAsia" w:ascii="新宋体" w:hAnsi="新宋体" w:eastAsia="新宋体"/>
                <w:color w:val="auto"/>
                <w:szCs w:val="21"/>
              </w:rPr>
              <w:br w:type="textWrapping"/>
            </w:r>
            <w:r>
              <w:rPr>
                <w:rFonts w:hint="eastAsia" w:ascii="新宋体" w:hAnsi="新宋体" w:eastAsia="新宋体"/>
                <w:color w:val="auto"/>
                <w:szCs w:val="21"/>
              </w:rPr>
              <w:t>4.差：难以有效地保障项目质量或未提供方案的，不得分。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 w:hRule="atLeast"/>
          <w:jc w:val="center"/>
        </w:trPr>
        <w:tc>
          <w:tcPr>
            <w:tcW w:w="734" w:type="dxa"/>
            <w:gridSpan w:val="2"/>
            <w:vMerge w:val="continue"/>
            <w:tcBorders>
              <w:left w:val="single" w:color="auto" w:sz="4" w:space="0"/>
              <w:right w:val="single" w:color="auto" w:sz="4" w:space="0"/>
            </w:tcBorders>
            <w:vAlign w:val="center"/>
          </w:tcPr>
          <w:p>
            <w:pPr>
              <w:rPr>
                <w:rFonts w:ascii="新宋体" w:hAnsi="新宋体" w:eastAsia="新宋体"/>
                <w:color w:val="auto"/>
                <w:szCs w:val="21"/>
              </w:rPr>
            </w:pP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4</w:t>
            </w:r>
          </w:p>
        </w:tc>
        <w:tc>
          <w:tcPr>
            <w:tcW w:w="11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项目完成（服务期满）后的服务承诺</w:t>
            </w: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5</w:t>
            </w:r>
          </w:p>
        </w:tc>
        <w:tc>
          <w:tcPr>
            <w:tcW w:w="5637" w:type="dxa"/>
            <w:gridSpan w:val="3"/>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b/>
                <w:bCs/>
                <w:color w:val="auto"/>
                <w:szCs w:val="21"/>
              </w:rPr>
            </w:pPr>
            <w:r>
              <w:rPr>
                <w:rFonts w:hint="eastAsia" w:ascii="新宋体" w:hAnsi="新宋体" w:eastAsia="新宋体"/>
                <w:b/>
                <w:bCs/>
                <w:color w:val="auto"/>
                <w:szCs w:val="21"/>
              </w:rPr>
              <w:t>评审内容：</w:t>
            </w:r>
          </w:p>
          <w:p>
            <w:pPr>
              <w:adjustRightInd w:val="0"/>
              <w:snapToGrid w:val="0"/>
              <w:spacing w:line="276" w:lineRule="auto"/>
              <w:rPr>
                <w:rFonts w:ascii="新宋体" w:hAnsi="新宋体" w:eastAsia="新宋体"/>
                <w:b/>
                <w:bCs/>
                <w:color w:val="auto"/>
                <w:szCs w:val="21"/>
              </w:rPr>
            </w:pPr>
            <w:r>
              <w:rPr>
                <w:rFonts w:hint="eastAsia" w:ascii="新宋体" w:hAnsi="新宋体" w:eastAsia="新宋体"/>
                <w:color w:val="auto"/>
                <w:szCs w:val="21"/>
              </w:rPr>
              <w:t>考察投标人对项目的服务承诺，</w:t>
            </w:r>
            <w:r>
              <w:rPr>
                <w:rFonts w:hint="eastAsia" w:ascii="新宋体" w:hAnsi="新宋体" w:eastAsia="新宋体"/>
                <w:snapToGrid w:val="0"/>
                <w:color w:val="auto"/>
                <w:kern w:val="0"/>
                <w:szCs w:val="21"/>
              </w:rPr>
              <w:t>并严格按照承诺内容执行，虚假承诺或不按承诺履行的，采购人有权取消其中标资格或终止服务合同。</w:t>
            </w:r>
            <w:r>
              <w:rPr>
                <w:rFonts w:hint="eastAsia" w:ascii="新宋体" w:hAnsi="新宋体" w:eastAsia="新宋体"/>
                <w:snapToGrid w:val="0"/>
                <w:color w:val="auto"/>
                <w:kern w:val="0"/>
                <w:szCs w:val="21"/>
              </w:rPr>
              <w:br w:type="textWrapping"/>
            </w:r>
            <w:r>
              <w:rPr>
                <w:rFonts w:hint="eastAsia" w:ascii="新宋体" w:hAnsi="新宋体" w:eastAsia="新宋体"/>
                <w:b/>
                <w:bCs/>
                <w:color w:val="auto"/>
                <w:szCs w:val="21"/>
              </w:rPr>
              <w:t>评分标准：</w:t>
            </w:r>
          </w:p>
          <w:p>
            <w:pPr>
              <w:rPr>
                <w:rFonts w:ascii="新宋体" w:hAnsi="新宋体" w:eastAsia="新宋体"/>
                <w:color w:val="auto"/>
                <w:szCs w:val="21"/>
              </w:rPr>
            </w:pPr>
            <w:r>
              <w:rPr>
                <w:rFonts w:hint="eastAsia" w:ascii="新宋体" w:hAnsi="新宋体" w:eastAsia="新宋体"/>
                <w:color w:val="auto"/>
                <w:szCs w:val="21"/>
              </w:rPr>
              <w:t>1.对签订合同的履约承诺的，</w:t>
            </w:r>
            <w:r>
              <w:rPr>
                <w:rFonts w:hint="eastAsia" w:ascii="新宋体" w:hAnsi="新宋体" w:eastAsia="新宋体"/>
                <w:snapToGrid w:val="0"/>
                <w:color w:val="auto"/>
                <w:kern w:val="0"/>
                <w:szCs w:val="21"/>
              </w:rPr>
              <w:t>得2分</w:t>
            </w:r>
            <w:r>
              <w:rPr>
                <w:rFonts w:hint="eastAsia" w:ascii="新宋体" w:hAnsi="新宋体" w:eastAsia="新宋体"/>
                <w:color w:val="auto"/>
                <w:szCs w:val="21"/>
              </w:rPr>
              <w:t>；</w:t>
            </w:r>
          </w:p>
          <w:p>
            <w:pPr>
              <w:rPr>
                <w:rFonts w:ascii="新宋体" w:hAnsi="新宋体" w:eastAsia="新宋体"/>
                <w:color w:val="auto"/>
                <w:szCs w:val="21"/>
              </w:rPr>
            </w:pPr>
            <w:r>
              <w:rPr>
                <w:rFonts w:hint="eastAsia" w:ascii="新宋体" w:hAnsi="新宋体" w:eastAsia="新宋体"/>
                <w:color w:val="auto"/>
                <w:szCs w:val="21"/>
              </w:rPr>
              <w:t>2.对培训材料的保密承诺的，</w:t>
            </w:r>
            <w:r>
              <w:rPr>
                <w:rFonts w:hint="eastAsia" w:ascii="新宋体" w:hAnsi="新宋体" w:eastAsia="新宋体"/>
                <w:snapToGrid w:val="0"/>
                <w:color w:val="auto"/>
                <w:kern w:val="0"/>
                <w:szCs w:val="21"/>
              </w:rPr>
              <w:t>得1分</w:t>
            </w:r>
            <w:r>
              <w:rPr>
                <w:rFonts w:hint="eastAsia" w:ascii="新宋体" w:hAnsi="新宋体" w:eastAsia="新宋体"/>
                <w:color w:val="auto"/>
                <w:szCs w:val="21"/>
              </w:rPr>
              <w:t>；</w:t>
            </w:r>
          </w:p>
          <w:p>
            <w:pPr>
              <w:rPr>
                <w:rFonts w:ascii="新宋体" w:hAnsi="新宋体" w:eastAsia="新宋体"/>
                <w:color w:val="auto"/>
                <w:szCs w:val="21"/>
              </w:rPr>
            </w:pPr>
            <w:r>
              <w:rPr>
                <w:rFonts w:hint="eastAsia" w:ascii="新宋体" w:hAnsi="新宋体" w:eastAsia="新宋体"/>
                <w:color w:val="auto"/>
                <w:szCs w:val="21"/>
              </w:rPr>
              <w:t>3.对培训过程中相关文件归档方案的，</w:t>
            </w:r>
            <w:r>
              <w:rPr>
                <w:rFonts w:hint="eastAsia" w:ascii="新宋体" w:hAnsi="新宋体" w:eastAsia="新宋体"/>
                <w:snapToGrid w:val="0"/>
                <w:color w:val="auto"/>
                <w:kern w:val="0"/>
                <w:szCs w:val="21"/>
              </w:rPr>
              <w:t>得1分</w:t>
            </w:r>
            <w:r>
              <w:rPr>
                <w:rFonts w:hint="eastAsia" w:ascii="新宋体" w:hAnsi="新宋体" w:eastAsia="新宋体"/>
                <w:color w:val="auto"/>
                <w:szCs w:val="21"/>
              </w:rPr>
              <w:t>；</w:t>
            </w:r>
          </w:p>
          <w:p>
            <w:pPr>
              <w:rPr>
                <w:rFonts w:ascii="新宋体" w:hAnsi="新宋体" w:eastAsia="新宋体"/>
                <w:b/>
                <w:bCs/>
                <w:color w:val="auto"/>
                <w:szCs w:val="21"/>
              </w:rPr>
            </w:pPr>
            <w:r>
              <w:rPr>
                <w:rFonts w:hint="eastAsia" w:ascii="新宋体" w:hAnsi="新宋体" w:eastAsia="新宋体"/>
                <w:color w:val="auto"/>
                <w:szCs w:val="21"/>
              </w:rPr>
              <w:t>4.对于合同终止后交接工作的配合程度的，</w:t>
            </w:r>
            <w:r>
              <w:rPr>
                <w:rFonts w:hint="eastAsia" w:ascii="新宋体" w:hAnsi="新宋体" w:eastAsia="新宋体"/>
                <w:snapToGrid w:val="0"/>
                <w:color w:val="auto"/>
                <w:kern w:val="0"/>
                <w:szCs w:val="21"/>
              </w:rPr>
              <w:t>得1分</w:t>
            </w:r>
            <w:r>
              <w:rPr>
                <w:rFonts w:hint="eastAsia" w:ascii="新宋体" w:hAnsi="新宋体" w:eastAsia="新宋体"/>
                <w:color w:val="auto"/>
                <w:szCs w:val="21"/>
              </w:rPr>
              <w:t>。</w:t>
            </w:r>
          </w:p>
          <w:p>
            <w:pPr>
              <w:rPr>
                <w:rFonts w:ascii="新宋体" w:hAnsi="新宋体" w:eastAsia="新宋体"/>
                <w:color w:val="auto"/>
                <w:szCs w:val="21"/>
              </w:rPr>
            </w:pPr>
            <w:r>
              <w:rPr>
                <w:rFonts w:hint="eastAsia" w:ascii="新宋体" w:hAnsi="新宋体" w:eastAsia="新宋体"/>
                <w:color w:val="auto"/>
                <w:szCs w:val="21"/>
              </w:rPr>
              <w:t>提供承诺函（格式自拟）并加盖投标人公章作为得分依据，未提供承诺函或专家无法凭所提供资料判断是否得分的情况，一律作不得分处理。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b/>
                <w:color w:val="auto"/>
                <w:szCs w:val="21"/>
              </w:rPr>
            </w:pPr>
            <w:r>
              <w:rPr>
                <w:rFonts w:ascii="新宋体" w:hAnsi="新宋体" w:eastAsia="新宋体"/>
                <w:b/>
                <w:color w:val="auto"/>
                <w:szCs w:val="21"/>
              </w:rPr>
              <w:t>3</w:t>
            </w:r>
          </w:p>
        </w:tc>
        <w:tc>
          <w:tcPr>
            <w:tcW w:w="296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b/>
                <w:color w:val="auto"/>
                <w:szCs w:val="21"/>
              </w:rPr>
            </w:pPr>
            <w:r>
              <w:rPr>
                <w:rFonts w:hint="eastAsia" w:ascii="新宋体" w:hAnsi="新宋体" w:eastAsia="新宋体"/>
                <w:b/>
                <w:color w:val="auto"/>
                <w:szCs w:val="21"/>
              </w:rPr>
              <w:t>综合实力</w:t>
            </w:r>
          </w:p>
        </w:tc>
        <w:tc>
          <w:tcPr>
            <w:tcW w:w="563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b/>
                <w:color w:val="auto"/>
                <w:szCs w:val="21"/>
              </w:rPr>
            </w:pPr>
            <w:r>
              <w:rPr>
                <w:rFonts w:hint="eastAsia" w:ascii="新宋体" w:hAnsi="新宋体" w:eastAsia="新宋体"/>
                <w:b/>
                <w:color w:val="auto"/>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jc w:val="center"/>
        </w:trPr>
        <w:tc>
          <w:tcPr>
            <w:tcW w:w="734" w:type="dxa"/>
            <w:gridSpan w:val="2"/>
            <w:vMerge w:val="restart"/>
            <w:tcBorders>
              <w:top w:val="single" w:color="auto" w:sz="4" w:space="0"/>
              <w:left w:val="single" w:color="auto" w:sz="4" w:space="0"/>
              <w:right w:val="single" w:color="auto" w:sz="4" w:space="0"/>
            </w:tcBorders>
            <w:vAlign w:val="center"/>
          </w:tcPr>
          <w:p>
            <w:pPr>
              <w:rPr>
                <w:rFonts w:ascii="新宋体" w:hAnsi="新宋体" w:eastAsia="新宋体"/>
                <w:color w:val="auto"/>
                <w:szCs w:val="21"/>
              </w:rPr>
            </w:pPr>
          </w:p>
        </w:tc>
        <w:tc>
          <w:tcPr>
            <w:tcW w:w="698"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olor w:val="auto"/>
                <w:szCs w:val="21"/>
              </w:rPr>
            </w:pPr>
            <w:r>
              <w:rPr>
                <w:rFonts w:hint="eastAsia" w:ascii="新宋体" w:hAnsi="新宋体" w:eastAsia="新宋体"/>
                <w:color w:val="auto"/>
                <w:szCs w:val="21"/>
              </w:rPr>
              <w:t>行号</w:t>
            </w:r>
          </w:p>
        </w:tc>
        <w:tc>
          <w:tcPr>
            <w:tcW w:w="1108" w:type="dxa"/>
            <w:gridSpan w:val="2"/>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olor w:val="auto"/>
                <w:szCs w:val="21"/>
              </w:rPr>
            </w:pPr>
            <w:r>
              <w:rPr>
                <w:rFonts w:hint="eastAsia" w:ascii="新宋体" w:hAnsi="新宋体" w:eastAsia="新宋体"/>
                <w:color w:val="auto"/>
                <w:szCs w:val="21"/>
              </w:rPr>
              <w:t>内容</w:t>
            </w:r>
          </w:p>
        </w:tc>
        <w:tc>
          <w:tcPr>
            <w:tcW w:w="1161"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olor w:val="auto"/>
                <w:szCs w:val="21"/>
              </w:rPr>
            </w:pPr>
            <w:r>
              <w:rPr>
                <w:rFonts w:hint="eastAsia" w:ascii="新宋体" w:hAnsi="新宋体" w:eastAsia="新宋体"/>
                <w:color w:val="auto"/>
                <w:szCs w:val="21"/>
              </w:rPr>
              <w:t>权重</w:t>
            </w:r>
          </w:p>
        </w:tc>
        <w:tc>
          <w:tcPr>
            <w:tcW w:w="5637" w:type="dxa"/>
            <w:gridSpan w:val="3"/>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olor w:val="auto"/>
                <w:szCs w:val="21"/>
              </w:rPr>
            </w:pPr>
            <w:r>
              <w:rPr>
                <w:rFonts w:hint="eastAsia" w:ascii="新宋体" w:hAnsi="新宋体" w:eastAsia="新宋体"/>
                <w:color w:val="auto"/>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 w:hRule="atLeast"/>
          <w:jc w:val="center"/>
        </w:trPr>
        <w:tc>
          <w:tcPr>
            <w:tcW w:w="734" w:type="dxa"/>
            <w:gridSpan w:val="2"/>
            <w:vMerge w:val="continue"/>
            <w:tcBorders>
              <w:left w:val="single" w:color="auto" w:sz="4" w:space="0"/>
              <w:right w:val="single" w:color="auto" w:sz="4" w:space="0"/>
            </w:tcBorders>
            <w:vAlign w:val="center"/>
          </w:tcPr>
          <w:p>
            <w:pPr>
              <w:rPr>
                <w:rFonts w:ascii="新宋体" w:hAnsi="新宋体" w:eastAsia="新宋体"/>
                <w:color w:val="auto"/>
                <w:szCs w:val="21"/>
              </w:rPr>
            </w:pP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ascii="新宋体" w:hAnsi="新宋体" w:eastAsia="新宋体"/>
                <w:color w:val="auto"/>
                <w:szCs w:val="21"/>
              </w:rPr>
              <w:t>1</w:t>
            </w:r>
          </w:p>
        </w:tc>
        <w:tc>
          <w:tcPr>
            <w:tcW w:w="11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投标人通过相关认证情况</w:t>
            </w: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6</w:t>
            </w:r>
          </w:p>
        </w:tc>
        <w:tc>
          <w:tcPr>
            <w:tcW w:w="5637" w:type="dxa"/>
            <w:gridSpan w:val="3"/>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b/>
                <w:bCs/>
                <w:color w:val="auto"/>
                <w:szCs w:val="21"/>
              </w:rPr>
            </w:pPr>
            <w:r>
              <w:rPr>
                <w:rFonts w:hint="eastAsia" w:ascii="新宋体" w:hAnsi="新宋体" w:eastAsia="新宋体"/>
                <w:b/>
                <w:bCs/>
                <w:color w:val="auto"/>
                <w:szCs w:val="21"/>
              </w:rPr>
              <w:t>评审内容：</w:t>
            </w:r>
          </w:p>
          <w:p>
            <w:pPr>
              <w:rPr>
                <w:rFonts w:ascii="新宋体" w:hAnsi="新宋体" w:eastAsia="新宋体"/>
                <w:color w:val="auto"/>
                <w:szCs w:val="21"/>
              </w:rPr>
            </w:pPr>
            <w:r>
              <w:rPr>
                <w:rFonts w:hint="eastAsia" w:ascii="新宋体" w:hAnsi="新宋体" w:eastAsia="新宋体"/>
                <w:color w:val="auto"/>
                <w:szCs w:val="21"/>
              </w:rPr>
              <w:t>1.提供ISO9001质量管理体系认证证书，得2分；</w:t>
            </w:r>
          </w:p>
          <w:p>
            <w:pPr>
              <w:rPr>
                <w:rFonts w:ascii="新宋体" w:hAnsi="新宋体" w:eastAsia="新宋体"/>
                <w:color w:val="auto"/>
                <w:szCs w:val="21"/>
              </w:rPr>
            </w:pPr>
            <w:r>
              <w:rPr>
                <w:rFonts w:hint="eastAsia" w:ascii="新宋体" w:hAnsi="新宋体" w:eastAsia="新宋体"/>
                <w:color w:val="auto"/>
                <w:szCs w:val="21"/>
              </w:rPr>
              <w:t>2.提供ISO14001环境管理体系认证证书，得</w:t>
            </w:r>
            <w:r>
              <w:rPr>
                <w:rFonts w:ascii="新宋体" w:hAnsi="新宋体" w:eastAsia="新宋体"/>
                <w:color w:val="auto"/>
                <w:szCs w:val="21"/>
              </w:rPr>
              <w:t>1</w:t>
            </w:r>
            <w:r>
              <w:rPr>
                <w:rFonts w:hint="eastAsia" w:ascii="新宋体" w:hAnsi="新宋体" w:eastAsia="新宋体"/>
                <w:color w:val="auto"/>
                <w:szCs w:val="21"/>
              </w:rPr>
              <w:t>分；</w:t>
            </w:r>
          </w:p>
          <w:p>
            <w:pPr>
              <w:rPr>
                <w:rFonts w:ascii="新宋体" w:hAnsi="新宋体" w:eastAsia="新宋体"/>
                <w:color w:val="auto"/>
                <w:szCs w:val="21"/>
              </w:rPr>
            </w:pPr>
            <w:r>
              <w:rPr>
                <w:rFonts w:hint="eastAsia" w:ascii="新宋体" w:hAnsi="新宋体" w:eastAsia="新宋体"/>
                <w:color w:val="auto"/>
                <w:szCs w:val="21"/>
              </w:rPr>
              <w:t>3.提供ISO45001职业健康安全管理体系认证证书，得</w:t>
            </w:r>
            <w:r>
              <w:rPr>
                <w:rFonts w:ascii="新宋体" w:hAnsi="新宋体" w:eastAsia="新宋体"/>
                <w:color w:val="auto"/>
                <w:szCs w:val="21"/>
              </w:rPr>
              <w:t>1</w:t>
            </w:r>
            <w:r>
              <w:rPr>
                <w:rFonts w:hint="eastAsia" w:ascii="新宋体" w:hAnsi="新宋体" w:eastAsia="新宋体"/>
                <w:color w:val="auto"/>
                <w:szCs w:val="21"/>
              </w:rPr>
              <w:t>分；</w:t>
            </w:r>
          </w:p>
          <w:p>
            <w:pPr>
              <w:rPr>
                <w:rFonts w:ascii="新宋体" w:hAnsi="新宋体" w:eastAsia="新宋体"/>
                <w:color w:val="auto"/>
                <w:szCs w:val="21"/>
              </w:rPr>
            </w:pPr>
            <w:r>
              <w:rPr>
                <w:rFonts w:hint="eastAsia" w:ascii="新宋体" w:hAnsi="新宋体" w:eastAsia="新宋体"/>
                <w:color w:val="auto"/>
                <w:szCs w:val="21"/>
              </w:rPr>
              <w:t>4.提供售后服务认证证书，得1分；</w:t>
            </w:r>
          </w:p>
          <w:p>
            <w:pPr>
              <w:rPr>
                <w:rFonts w:ascii="新宋体" w:hAnsi="新宋体" w:eastAsia="新宋体"/>
                <w:color w:val="auto"/>
                <w:szCs w:val="21"/>
              </w:rPr>
            </w:pPr>
            <w:r>
              <w:rPr>
                <w:rFonts w:hint="eastAsia" w:ascii="新宋体" w:hAnsi="新宋体" w:eastAsia="新宋体"/>
                <w:color w:val="auto"/>
                <w:szCs w:val="21"/>
              </w:rPr>
              <w:t>5.提供诚信管理体系认证证书，得1分。</w:t>
            </w:r>
          </w:p>
          <w:p>
            <w:pPr>
              <w:rPr>
                <w:rFonts w:ascii="新宋体" w:hAnsi="新宋体" w:eastAsia="新宋体"/>
                <w:color w:val="auto"/>
                <w:szCs w:val="21"/>
              </w:rPr>
            </w:pPr>
            <w:r>
              <w:rPr>
                <w:rFonts w:hint="eastAsia" w:ascii="新宋体" w:hAnsi="新宋体" w:eastAsia="新宋体"/>
                <w:b/>
                <w:bCs/>
                <w:color w:val="auto"/>
                <w:szCs w:val="21"/>
              </w:rPr>
              <w:t>评分标准：</w:t>
            </w:r>
            <w:r>
              <w:rPr>
                <w:rFonts w:hint="eastAsia" w:ascii="新宋体" w:hAnsi="新宋体" w:eastAsia="新宋体"/>
                <w:b/>
                <w:bCs/>
                <w:color w:val="auto"/>
                <w:szCs w:val="21"/>
              </w:rPr>
              <w:br w:type="textWrapping"/>
            </w:r>
            <w:r>
              <w:rPr>
                <w:rFonts w:hint="eastAsia" w:ascii="新宋体" w:hAnsi="新宋体" w:eastAsia="新宋体"/>
                <w:color w:val="auto"/>
                <w:szCs w:val="21"/>
              </w:rPr>
              <w:t>1.提供有效并通过年审合格的证书扫描或复印件及国家认证认可监督管理委员会官方网站（www.cnca.gov.cn）网站查询截图，作为得分依据。</w:t>
            </w:r>
          </w:p>
          <w:p>
            <w:pPr>
              <w:rPr>
                <w:rFonts w:ascii="新宋体" w:hAnsi="新宋体" w:eastAsia="新宋体"/>
                <w:color w:val="auto"/>
                <w:szCs w:val="21"/>
              </w:rPr>
            </w:pPr>
            <w:r>
              <w:rPr>
                <w:rFonts w:hint="eastAsia" w:ascii="新宋体" w:hAnsi="新宋体" w:eastAsia="新宋体"/>
                <w:color w:val="auto"/>
                <w:szCs w:val="21"/>
              </w:rPr>
              <w:t>2.评分中出现无证明资料或专家无法凭所提供资料判断是否得分的情况，一律作不得分处理。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 w:hRule="atLeast"/>
          <w:jc w:val="center"/>
        </w:trPr>
        <w:tc>
          <w:tcPr>
            <w:tcW w:w="734" w:type="dxa"/>
            <w:gridSpan w:val="2"/>
            <w:vMerge w:val="continue"/>
            <w:tcBorders>
              <w:left w:val="single" w:color="auto" w:sz="4" w:space="0"/>
              <w:right w:val="single" w:color="auto" w:sz="4" w:space="0"/>
            </w:tcBorders>
            <w:vAlign w:val="center"/>
          </w:tcPr>
          <w:p>
            <w:pPr>
              <w:rPr>
                <w:rFonts w:ascii="新宋体" w:hAnsi="新宋体" w:eastAsia="新宋体"/>
                <w:color w:val="auto"/>
                <w:szCs w:val="21"/>
              </w:rPr>
            </w:pP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2</w:t>
            </w:r>
          </w:p>
        </w:tc>
        <w:tc>
          <w:tcPr>
            <w:tcW w:w="11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投标人同类项目业绩情况</w:t>
            </w: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6</w:t>
            </w:r>
          </w:p>
        </w:tc>
        <w:tc>
          <w:tcPr>
            <w:tcW w:w="5637" w:type="dxa"/>
            <w:gridSpan w:val="3"/>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b/>
                <w:bCs/>
                <w:color w:val="auto"/>
                <w:szCs w:val="21"/>
              </w:rPr>
            </w:pPr>
            <w:r>
              <w:rPr>
                <w:rFonts w:hint="eastAsia" w:ascii="新宋体" w:hAnsi="新宋体" w:eastAsia="新宋体"/>
                <w:b/>
                <w:bCs/>
                <w:color w:val="auto"/>
                <w:szCs w:val="21"/>
              </w:rPr>
              <w:t>评审内容：</w:t>
            </w:r>
          </w:p>
          <w:p>
            <w:pPr>
              <w:rPr>
                <w:rFonts w:ascii="新宋体" w:hAnsi="新宋体" w:eastAsia="新宋体"/>
                <w:color w:val="auto"/>
                <w:szCs w:val="21"/>
              </w:rPr>
            </w:pPr>
            <w:r>
              <w:rPr>
                <w:rFonts w:hint="eastAsia" w:ascii="新宋体" w:hAnsi="新宋体" w:eastAsia="新宋体"/>
                <w:color w:val="auto"/>
                <w:szCs w:val="21"/>
              </w:rPr>
              <w:t>2019年1月至本项目招标公告发布日前（具体以合同签订日期为准），投标人具有同类型</w:t>
            </w:r>
            <w:r>
              <w:rPr>
                <w:rFonts w:hint="eastAsia"/>
                <w:color w:val="auto"/>
              </w:rPr>
              <w:t>工伤预防项目</w:t>
            </w:r>
            <w:r>
              <w:rPr>
                <w:rFonts w:hint="eastAsia" w:ascii="新宋体" w:hAnsi="新宋体" w:eastAsia="新宋体"/>
                <w:color w:val="auto"/>
                <w:szCs w:val="21"/>
              </w:rPr>
              <w:t>、</w:t>
            </w:r>
            <w:r>
              <w:rPr>
                <w:rFonts w:hint="eastAsia" w:ascii="宋体" w:hAnsi="宋体"/>
                <w:color w:val="auto"/>
                <w:szCs w:val="21"/>
                <w:lang w:eastAsia="zh-Hans"/>
              </w:rPr>
              <w:t>安全相关培训、讲座项目</w:t>
            </w:r>
            <w:r>
              <w:rPr>
                <w:rFonts w:hint="eastAsia" w:ascii="新宋体" w:hAnsi="新宋体" w:eastAsia="新宋体"/>
                <w:color w:val="auto"/>
                <w:szCs w:val="21"/>
              </w:rPr>
              <w:t>案例，每提供一个得1分，累计最高得6分。</w:t>
            </w:r>
          </w:p>
          <w:p>
            <w:pPr>
              <w:rPr>
                <w:rFonts w:ascii="新宋体" w:hAnsi="新宋体" w:eastAsia="新宋体"/>
                <w:b/>
                <w:bCs/>
                <w:color w:val="auto"/>
                <w:szCs w:val="21"/>
              </w:rPr>
            </w:pPr>
            <w:r>
              <w:rPr>
                <w:rFonts w:hint="eastAsia" w:ascii="新宋体" w:hAnsi="新宋体" w:eastAsia="新宋体"/>
                <w:b/>
                <w:bCs/>
                <w:color w:val="auto"/>
                <w:szCs w:val="21"/>
              </w:rPr>
              <w:t>评分标准：</w:t>
            </w:r>
          </w:p>
          <w:p>
            <w:pPr>
              <w:rPr>
                <w:rFonts w:ascii="新宋体" w:hAnsi="新宋体" w:eastAsia="新宋体"/>
                <w:color w:val="auto"/>
                <w:szCs w:val="21"/>
              </w:rPr>
            </w:pPr>
            <w:r>
              <w:rPr>
                <w:rFonts w:hint="eastAsia" w:ascii="新宋体" w:hAnsi="新宋体" w:eastAsia="新宋体"/>
                <w:color w:val="auto"/>
                <w:szCs w:val="21"/>
              </w:rPr>
              <w:t>1.要求同时提供合同关键信息和项目履约（验收）合格评价证明文件作为得分依据。</w:t>
            </w:r>
          </w:p>
          <w:p>
            <w:pPr>
              <w:rPr>
                <w:rFonts w:ascii="新宋体" w:hAnsi="新宋体" w:eastAsia="新宋体"/>
                <w:color w:val="auto"/>
                <w:szCs w:val="21"/>
              </w:rPr>
            </w:pPr>
            <w:r>
              <w:rPr>
                <w:rFonts w:hint="eastAsia" w:ascii="新宋体" w:hAnsi="新宋体" w:eastAsia="新宋体"/>
                <w:color w:val="auto"/>
                <w:szCs w:val="21"/>
              </w:rPr>
              <w:t>2.通过合同关键信息无法判断是否得分的，还须同时提供能证明得分的其它证明资料，如项目报告或合同甲方出具的证明文件等。</w:t>
            </w:r>
          </w:p>
          <w:p>
            <w:pPr>
              <w:rPr>
                <w:rFonts w:ascii="新宋体" w:hAnsi="新宋体" w:eastAsia="新宋体"/>
                <w:color w:val="auto"/>
                <w:szCs w:val="21"/>
              </w:rPr>
            </w:pPr>
            <w:r>
              <w:rPr>
                <w:rFonts w:hint="eastAsia" w:ascii="新宋体" w:hAnsi="新宋体" w:eastAsia="新宋体"/>
                <w:color w:val="auto"/>
                <w:szCs w:val="21"/>
              </w:rPr>
              <w:t>3.以上资料均要求提供扫描或复印件，原件备查。</w:t>
            </w:r>
            <w:r>
              <w:rPr>
                <w:rFonts w:ascii="新宋体" w:hAnsi="新宋体" w:eastAsia="新宋体"/>
                <w:color w:val="auto"/>
                <w:szCs w:val="21"/>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84" w:hRule="atLeast"/>
          <w:jc w:val="center"/>
        </w:trPr>
        <w:tc>
          <w:tcPr>
            <w:tcW w:w="734" w:type="dxa"/>
            <w:gridSpan w:val="2"/>
            <w:vMerge w:val="continue"/>
            <w:tcBorders>
              <w:left w:val="single" w:color="auto" w:sz="4" w:space="0"/>
              <w:right w:val="single" w:color="auto" w:sz="4" w:space="0"/>
            </w:tcBorders>
            <w:vAlign w:val="center"/>
          </w:tcPr>
          <w:p>
            <w:pPr>
              <w:rPr>
                <w:rFonts w:ascii="新宋体" w:hAnsi="新宋体" w:eastAsia="新宋体"/>
                <w:color w:val="auto"/>
                <w:szCs w:val="21"/>
              </w:rPr>
            </w:pP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3</w:t>
            </w:r>
          </w:p>
        </w:tc>
        <w:tc>
          <w:tcPr>
            <w:tcW w:w="11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投标人社会影响力</w:t>
            </w: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5</w:t>
            </w:r>
          </w:p>
        </w:tc>
        <w:tc>
          <w:tcPr>
            <w:tcW w:w="5637" w:type="dxa"/>
            <w:gridSpan w:val="3"/>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b/>
                <w:bCs/>
                <w:color w:val="auto"/>
                <w:szCs w:val="21"/>
              </w:rPr>
            </w:pPr>
            <w:r>
              <w:rPr>
                <w:rFonts w:hint="eastAsia" w:ascii="新宋体" w:hAnsi="新宋体" w:eastAsia="新宋体"/>
                <w:b/>
                <w:bCs/>
                <w:color w:val="auto"/>
                <w:szCs w:val="21"/>
              </w:rPr>
              <w:t>评审内容：</w:t>
            </w:r>
          </w:p>
          <w:p>
            <w:pPr>
              <w:numPr>
                <w:ilvl w:val="0"/>
                <w:numId w:val="0"/>
              </w:numPr>
              <w:rPr>
                <w:rFonts w:ascii="新宋体" w:hAnsi="新宋体" w:eastAsia="新宋体"/>
                <w:color w:val="auto"/>
                <w:szCs w:val="21"/>
              </w:rPr>
            </w:pPr>
            <w:r>
              <w:rPr>
                <w:rFonts w:hint="eastAsia" w:ascii="新宋体" w:hAnsi="新宋体" w:eastAsia="新宋体"/>
                <w:color w:val="auto"/>
                <w:szCs w:val="21"/>
                <w:lang w:val="en-US" w:eastAsia="zh-CN"/>
              </w:rPr>
              <w:t>1.</w:t>
            </w:r>
            <w:r>
              <w:rPr>
                <w:rFonts w:hint="eastAsia" w:ascii="新宋体" w:hAnsi="新宋体" w:eastAsia="新宋体"/>
                <w:color w:val="auto"/>
                <w:szCs w:val="21"/>
              </w:rPr>
              <w:t>投标人具有自主知识产权，包括专利或软件著作权，</w:t>
            </w:r>
            <w:r>
              <w:rPr>
                <w:rFonts w:hint="eastAsia" w:ascii="新宋体" w:hAnsi="新宋体" w:eastAsia="新宋体"/>
                <w:color w:val="auto"/>
                <w:szCs w:val="21"/>
                <w:lang w:val="en-US" w:eastAsia="zh-CN"/>
              </w:rPr>
              <w:t>每</w:t>
            </w:r>
            <w:r>
              <w:rPr>
                <w:rFonts w:hint="eastAsia" w:ascii="新宋体" w:hAnsi="新宋体" w:eastAsia="新宋体"/>
                <w:color w:val="auto"/>
                <w:szCs w:val="21"/>
              </w:rPr>
              <w:t>提供一个得1分，最高得3分</w:t>
            </w:r>
          </w:p>
          <w:p>
            <w:pPr>
              <w:numPr>
                <w:ilvl w:val="0"/>
                <w:numId w:val="0"/>
              </w:numPr>
              <w:rPr>
                <w:rFonts w:ascii="新宋体" w:hAnsi="新宋体" w:eastAsia="新宋体"/>
                <w:color w:val="auto"/>
                <w:szCs w:val="21"/>
              </w:rPr>
            </w:pPr>
            <w:r>
              <w:rPr>
                <w:rFonts w:hint="eastAsia" w:ascii="新宋体" w:hAnsi="新宋体" w:eastAsia="新宋体"/>
                <w:color w:val="auto"/>
                <w:szCs w:val="21"/>
                <w:lang w:val="en-US" w:eastAsia="zh-CN"/>
              </w:rPr>
              <w:t>2.</w:t>
            </w:r>
            <w:r>
              <w:rPr>
                <w:rFonts w:hint="eastAsia" w:ascii="新宋体" w:hAnsi="新宋体" w:eastAsia="新宋体"/>
                <w:color w:val="auto"/>
                <w:szCs w:val="21"/>
              </w:rPr>
              <w:t>投标人参与起草安全管理规范（国家标准、行业标准或地方标准）并最终发布得，每提供一份得1分，最高得2分</w:t>
            </w:r>
          </w:p>
          <w:p>
            <w:pPr>
              <w:numPr>
                <w:ilvl w:val="0"/>
                <w:numId w:val="0"/>
              </w:numPr>
              <w:rPr>
                <w:rFonts w:ascii="新宋体" w:hAnsi="新宋体" w:eastAsia="新宋体"/>
                <w:color w:val="auto"/>
                <w:szCs w:val="21"/>
              </w:rPr>
            </w:pPr>
            <w:r>
              <w:rPr>
                <w:rFonts w:hint="eastAsia" w:ascii="新宋体" w:hAnsi="新宋体" w:eastAsia="新宋体"/>
                <w:color w:val="auto"/>
                <w:szCs w:val="21"/>
              </w:rPr>
              <w:t>以上两项累计最高得5分。</w:t>
            </w:r>
          </w:p>
          <w:p>
            <w:pPr>
              <w:rPr>
                <w:rFonts w:ascii="新宋体" w:hAnsi="新宋体" w:eastAsia="新宋体"/>
                <w:b/>
                <w:bCs/>
                <w:color w:val="auto"/>
                <w:szCs w:val="21"/>
              </w:rPr>
            </w:pPr>
            <w:r>
              <w:rPr>
                <w:rFonts w:hint="eastAsia" w:ascii="新宋体" w:hAnsi="新宋体" w:eastAsia="新宋体"/>
                <w:b/>
                <w:bCs/>
                <w:color w:val="auto"/>
                <w:szCs w:val="21"/>
              </w:rPr>
              <w:t>评分标准：</w:t>
            </w:r>
          </w:p>
          <w:p>
            <w:pPr>
              <w:rPr>
                <w:rFonts w:ascii="新宋体" w:hAnsi="新宋体" w:eastAsia="新宋体"/>
                <w:color w:val="auto"/>
                <w:szCs w:val="21"/>
              </w:rPr>
            </w:pPr>
            <w:r>
              <w:rPr>
                <w:rFonts w:hint="eastAsia" w:ascii="新宋体" w:hAnsi="新宋体" w:eastAsia="新宋体"/>
                <w:color w:val="auto"/>
                <w:szCs w:val="21"/>
              </w:rPr>
              <w:t>1.要求提供相关证书或发布情况网上截图等证明材料作为得分依据。</w:t>
            </w:r>
          </w:p>
          <w:p>
            <w:pPr>
              <w:rPr>
                <w:rFonts w:ascii="新宋体" w:hAnsi="新宋体" w:eastAsia="新宋体"/>
                <w:color w:val="auto"/>
                <w:szCs w:val="21"/>
              </w:rPr>
            </w:pPr>
            <w:r>
              <w:rPr>
                <w:rFonts w:hint="eastAsia" w:ascii="新宋体" w:hAnsi="新宋体" w:eastAsia="新宋体"/>
                <w:color w:val="auto"/>
                <w:szCs w:val="21"/>
              </w:rPr>
              <w:t>2.以上资料均要求提供扫描或复印件（或官方网站截图），原件备查。</w:t>
            </w:r>
            <w:r>
              <w:rPr>
                <w:rFonts w:ascii="新宋体" w:hAnsi="新宋体" w:eastAsia="新宋体"/>
                <w:color w:val="auto"/>
                <w:szCs w:val="21"/>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 w:hRule="atLeast"/>
          <w:jc w:val="center"/>
        </w:trPr>
        <w:tc>
          <w:tcPr>
            <w:tcW w:w="734" w:type="dxa"/>
            <w:gridSpan w:val="2"/>
            <w:vMerge w:val="continue"/>
            <w:tcBorders>
              <w:left w:val="single" w:color="auto" w:sz="4" w:space="0"/>
              <w:right w:val="single" w:color="auto" w:sz="4" w:space="0"/>
            </w:tcBorders>
            <w:vAlign w:val="center"/>
          </w:tcPr>
          <w:p>
            <w:pPr>
              <w:rPr>
                <w:rFonts w:ascii="新宋体" w:hAnsi="新宋体" w:eastAsia="新宋体"/>
                <w:color w:val="auto"/>
                <w:szCs w:val="21"/>
              </w:rPr>
            </w:pP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4</w:t>
            </w:r>
          </w:p>
        </w:tc>
        <w:tc>
          <w:tcPr>
            <w:tcW w:w="11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拟安排的项目负责人情况（仅限一人）</w:t>
            </w: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5</w:t>
            </w:r>
          </w:p>
        </w:tc>
        <w:tc>
          <w:tcPr>
            <w:tcW w:w="5637" w:type="dxa"/>
            <w:gridSpan w:val="3"/>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b/>
                <w:bCs/>
                <w:color w:val="auto"/>
                <w:szCs w:val="21"/>
              </w:rPr>
            </w:pPr>
            <w:r>
              <w:rPr>
                <w:rFonts w:hint="eastAsia" w:ascii="新宋体" w:hAnsi="新宋体" w:eastAsia="新宋体"/>
                <w:b/>
                <w:bCs/>
                <w:color w:val="auto"/>
                <w:szCs w:val="21"/>
              </w:rPr>
              <w:t>评审内容：</w:t>
            </w:r>
          </w:p>
          <w:p>
            <w:pPr>
              <w:numPr>
                <w:ilvl w:val="0"/>
                <w:numId w:val="0"/>
              </w:numPr>
              <w:rPr>
                <w:rFonts w:ascii="新宋体" w:hAnsi="新宋体" w:eastAsia="新宋体"/>
                <w:color w:val="auto"/>
                <w:szCs w:val="21"/>
              </w:rPr>
            </w:pPr>
            <w:r>
              <w:rPr>
                <w:rFonts w:hint="eastAsia" w:ascii="新宋体" w:hAnsi="新宋体" w:eastAsia="新宋体"/>
                <w:color w:val="auto"/>
                <w:szCs w:val="21"/>
                <w:lang w:val="en-US" w:eastAsia="zh-CN"/>
              </w:rPr>
              <w:t>1.</w:t>
            </w:r>
            <w:r>
              <w:rPr>
                <w:rFonts w:hint="eastAsia" w:ascii="新宋体" w:hAnsi="新宋体" w:eastAsia="新宋体"/>
                <w:color w:val="auto"/>
                <w:szCs w:val="21"/>
              </w:rPr>
              <w:t>项目负责人为本科及以上学历的，得1分；</w:t>
            </w:r>
            <w:r>
              <w:rPr>
                <w:rFonts w:hint="eastAsia" w:ascii="新宋体" w:hAnsi="新宋体" w:eastAsia="新宋体"/>
                <w:color w:val="auto"/>
                <w:szCs w:val="21"/>
              </w:rPr>
              <w:br w:type="textWrapping"/>
            </w:r>
            <w:r>
              <w:rPr>
                <w:rFonts w:hint="eastAsia" w:ascii="新宋体" w:hAnsi="新宋体" w:eastAsia="新宋体"/>
                <w:color w:val="auto"/>
                <w:szCs w:val="21"/>
              </w:rPr>
              <w:t>2.具有化工专业(安全工程、工艺设备)或应急管理类专业高级或以上职称的，得2分；</w:t>
            </w:r>
            <w:r>
              <w:rPr>
                <w:rFonts w:hint="eastAsia" w:ascii="新宋体" w:hAnsi="新宋体" w:eastAsia="新宋体"/>
                <w:color w:val="auto"/>
                <w:szCs w:val="21"/>
              </w:rPr>
              <w:br w:type="textWrapping"/>
            </w:r>
            <w:r>
              <w:rPr>
                <w:rFonts w:hint="eastAsia" w:ascii="新宋体" w:hAnsi="新宋体" w:eastAsia="新宋体"/>
                <w:color w:val="auto"/>
                <w:szCs w:val="21"/>
              </w:rPr>
              <w:t>3.具有注册安全工程师资格证书，得1分；</w:t>
            </w:r>
          </w:p>
          <w:p>
            <w:pPr>
              <w:numPr>
                <w:ilvl w:val="255"/>
                <w:numId w:val="0"/>
              </w:numPr>
              <w:rPr>
                <w:rFonts w:ascii="新宋体" w:hAnsi="新宋体" w:eastAsia="新宋体"/>
                <w:color w:val="auto"/>
                <w:szCs w:val="21"/>
              </w:rPr>
            </w:pPr>
            <w:r>
              <w:rPr>
                <w:rFonts w:hint="eastAsia" w:ascii="新宋体" w:hAnsi="新宋体" w:eastAsia="新宋体"/>
                <w:color w:val="auto"/>
                <w:szCs w:val="21"/>
              </w:rPr>
              <w:t>4.具有广东省应急管理服务协会颁发的安全培训教师培训合格证书，得1分。</w:t>
            </w:r>
          </w:p>
          <w:p>
            <w:pPr>
              <w:rPr>
                <w:rFonts w:ascii="新宋体" w:hAnsi="新宋体" w:eastAsia="新宋体"/>
                <w:b/>
                <w:bCs/>
                <w:color w:val="auto"/>
                <w:szCs w:val="21"/>
              </w:rPr>
            </w:pPr>
            <w:r>
              <w:rPr>
                <w:rFonts w:hint="eastAsia" w:ascii="新宋体" w:hAnsi="新宋体" w:eastAsia="新宋体"/>
                <w:b/>
                <w:bCs/>
                <w:color w:val="auto"/>
                <w:szCs w:val="21"/>
              </w:rPr>
              <w:t>评分标准：</w:t>
            </w:r>
          </w:p>
          <w:p>
            <w:pPr>
              <w:rPr>
                <w:rFonts w:ascii="新宋体" w:hAnsi="新宋体" w:eastAsia="新宋体"/>
                <w:color w:val="auto"/>
                <w:szCs w:val="21"/>
              </w:rPr>
            </w:pPr>
            <w:r>
              <w:rPr>
                <w:rFonts w:hint="eastAsia" w:ascii="新宋体" w:hAnsi="新宋体" w:eastAsia="新宋体"/>
                <w:color w:val="auto"/>
                <w:szCs w:val="21"/>
              </w:rPr>
              <w:t>1.要求提供投标人相关证明资料作为得分依据。同时提供投标人为项目负责人购买的自本项目（响应）截止时间前3个月的代缴个税税单或参加社会保险的《投保单》或《社会保险参保人员证明》社保未出月份则往前顺延一到二个月。（如供应商为新成立企业且成立时间不足3个月可提供情况说明或者证明材料亦视为符合）。</w:t>
            </w:r>
          </w:p>
          <w:p>
            <w:pPr>
              <w:rPr>
                <w:rFonts w:ascii="新宋体" w:hAnsi="新宋体" w:eastAsia="新宋体"/>
                <w:color w:val="auto"/>
                <w:szCs w:val="21"/>
              </w:rPr>
            </w:pPr>
            <w:r>
              <w:rPr>
                <w:rFonts w:hint="eastAsia" w:ascii="新宋体" w:hAnsi="新宋体" w:eastAsia="新宋体"/>
                <w:color w:val="auto"/>
                <w:szCs w:val="21"/>
              </w:rPr>
              <w:t>2.以上资料均要求提供扫描或复印件（或官方网站截图），原件备查。</w:t>
            </w:r>
            <w:r>
              <w:rPr>
                <w:rFonts w:ascii="新宋体" w:hAnsi="新宋体" w:eastAsia="新宋体"/>
                <w:color w:val="auto"/>
                <w:szCs w:val="21"/>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 w:hRule="atLeast"/>
          <w:jc w:val="center"/>
        </w:trPr>
        <w:tc>
          <w:tcPr>
            <w:tcW w:w="734" w:type="dxa"/>
            <w:gridSpan w:val="2"/>
            <w:vMerge w:val="continue"/>
            <w:tcBorders>
              <w:left w:val="single" w:color="auto" w:sz="4" w:space="0"/>
              <w:right w:val="single" w:color="auto" w:sz="4" w:space="0"/>
            </w:tcBorders>
            <w:vAlign w:val="center"/>
          </w:tcPr>
          <w:p>
            <w:pPr>
              <w:rPr>
                <w:rFonts w:ascii="新宋体" w:hAnsi="新宋体" w:eastAsia="新宋体"/>
                <w:color w:val="auto"/>
                <w:szCs w:val="21"/>
              </w:rPr>
            </w:pP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5</w:t>
            </w:r>
          </w:p>
        </w:tc>
        <w:tc>
          <w:tcPr>
            <w:tcW w:w="11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拟安排的项目主要团队成员（主要技术人员）情况（项目负责人除外）</w:t>
            </w: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9</w:t>
            </w:r>
          </w:p>
        </w:tc>
        <w:tc>
          <w:tcPr>
            <w:tcW w:w="5637" w:type="dxa"/>
            <w:gridSpan w:val="3"/>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olor w:val="auto"/>
                <w:szCs w:val="21"/>
              </w:rPr>
            </w:pPr>
            <w:r>
              <w:rPr>
                <w:rFonts w:hint="eastAsia" w:ascii="新宋体" w:hAnsi="新宋体" w:eastAsia="新宋体"/>
                <w:b/>
                <w:bCs/>
                <w:color w:val="auto"/>
                <w:szCs w:val="21"/>
              </w:rPr>
              <w:t>评审内容：</w:t>
            </w:r>
            <w:r>
              <w:rPr>
                <w:rFonts w:hint="eastAsia" w:ascii="新宋体" w:hAnsi="新宋体" w:eastAsia="新宋体"/>
                <w:color w:val="auto"/>
                <w:szCs w:val="21"/>
              </w:rPr>
              <w:br w:type="textWrapping"/>
            </w:r>
            <w:r>
              <w:rPr>
                <w:rFonts w:hint="eastAsia" w:ascii="新宋体" w:hAnsi="新宋体" w:eastAsia="新宋体"/>
                <w:color w:val="auto"/>
                <w:szCs w:val="21"/>
              </w:rPr>
              <w:t>1.有化工专业(安全工程、工艺设备)或应急管理类专业高级或以上职称的，每提供一人得1分，本项最高得2分；</w:t>
            </w:r>
            <w:r>
              <w:rPr>
                <w:rFonts w:hint="eastAsia" w:ascii="新宋体" w:hAnsi="新宋体" w:eastAsia="新宋体"/>
                <w:color w:val="auto"/>
                <w:szCs w:val="21"/>
              </w:rPr>
              <w:br w:type="textWrapping"/>
            </w:r>
            <w:r>
              <w:rPr>
                <w:rFonts w:hint="eastAsia" w:ascii="新宋体" w:hAnsi="新宋体" w:eastAsia="新宋体"/>
                <w:color w:val="auto"/>
                <w:szCs w:val="21"/>
              </w:rPr>
              <w:t>2.具有注册安全工程师资格并取得广东省应急管理服务协会颁发的安全培训教师培训合格证书得每提供1人得1分，本项最高得4分；</w:t>
            </w:r>
            <w:r>
              <w:rPr>
                <w:rFonts w:hint="eastAsia" w:ascii="新宋体" w:hAnsi="新宋体" w:eastAsia="新宋体"/>
                <w:color w:val="auto"/>
                <w:szCs w:val="21"/>
              </w:rPr>
              <w:br w:type="textWrapping"/>
            </w:r>
            <w:r>
              <w:rPr>
                <w:rFonts w:hint="eastAsia" w:ascii="新宋体" w:hAnsi="新宋体" w:eastAsia="新宋体"/>
                <w:color w:val="auto"/>
                <w:szCs w:val="21"/>
              </w:rPr>
              <w:t>3.项目团队成员具有注册安全工程师资格证书并注册类别为化工安全的，每提供1人得1分，本项最高得3分。</w:t>
            </w:r>
            <w:r>
              <w:rPr>
                <w:rFonts w:hint="eastAsia" w:ascii="新宋体" w:hAnsi="新宋体" w:eastAsia="新宋体"/>
                <w:color w:val="auto"/>
                <w:szCs w:val="21"/>
              </w:rPr>
              <w:br w:type="textWrapping"/>
            </w:r>
            <w:r>
              <w:rPr>
                <w:rFonts w:hint="eastAsia" w:ascii="新宋体" w:hAnsi="新宋体" w:eastAsia="新宋体"/>
                <w:color w:val="auto"/>
                <w:szCs w:val="21"/>
              </w:rPr>
              <w:t>备注：上述人员符合多项条件的可重复得分。</w:t>
            </w:r>
          </w:p>
          <w:p>
            <w:pPr>
              <w:rPr>
                <w:rFonts w:ascii="新宋体" w:hAnsi="新宋体" w:eastAsia="新宋体"/>
                <w:b/>
                <w:bCs/>
                <w:color w:val="auto"/>
                <w:szCs w:val="21"/>
              </w:rPr>
            </w:pPr>
            <w:r>
              <w:rPr>
                <w:rFonts w:hint="eastAsia" w:ascii="新宋体" w:hAnsi="新宋体" w:eastAsia="新宋体"/>
                <w:b/>
                <w:bCs/>
                <w:color w:val="auto"/>
                <w:szCs w:val="21"/>
              </w:rPr>
              <w:t>评分标准：</w:t>
            </w:r>
          </w:p>
          <w:p>
            <w:pPr>
              <w:rPr>
                <w:rFonts w:ascii="新宋体" w:hAnsi="新宋体" w:eastAsia="新宋体"/>
                <w:color w:val="auto"/>
                <w:szCs w:val="21"/>
              </w:rPr>
            </w:pPr>
            <w:r>
              <w:rPr>
                <w:rFonts w:hint="eastAsia" w:ascii="新宋体" w:hAnsi="新宋体" w:eastAsia="新宋体"/>
                <w:color w:val="auto"/>
                <w:szCs w:val="21"/>
              </w:rPr>
              <w:t>1.要求提供投标人相关证明资料作为得分依据。同时提供投标人为项目负责人购买的自本项目（响应）截止时间前3个月的代缴个税税单或参加社会保险的《投保单》或《社会保险参保人员证明》社保未出月份则往前顺延一到二个月。（如供应商为新成立企业且成立时间不足3个月可提供情况说明或者证明材料亦视为符合）。</w:t>
            </w:r>
          </w:p>
          <w:p>
            <w:pPr>
              <w:rPr>
                <w:rFonts w:ascii="新宋体" w:hAnsi="新宋体" w:eastAsia="新宋体"/>
                <w:color w:val="auto"/>
                <w:szCs w:val="21"/>
              </w:rPr>
            </w:pPr>
            <w:r>
              <w:rPr>
                <w:rFonts w:hint="eastAsia" w:ascii="新宋体" w:hAnsi="新宋体" w:eastAsia="新宋体"/>
                <w:color w:val="auto"/>
                <w:szCs w:val="21"/>
              </w:rPr>
              <w:t>2.以上资料均要求提供扫描或复印件（或官方网站截图），原件备查。</w:t>
            </w:r>
            <w:r>
              <w:rPr>
                <w:rFonts w:ascii="新宋体" w:hAnsi="新宋体" w:eastAsia="新宋体"/>
                <w:color w:val="auto"/>
                <w:szCs w:val="21"/>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 w:hRule="atLeast"/>
          <w:jc w:val="center"/>
        </w:trPr>
        <w:tc>
          <w:tcPr>
            <w:tcW w:w="734" w:type="dxa"/>
            <w:gridSpan w:val="2"/>
            <w:vMerge w:val="continue"/>
            <w:tcBorders>
              <w:left w:val="single" w:color="auto" w:sz="4" w:space="0"/>
              <w:right w:val="single" w:color="auto" w:sz="4" w:space="0"/>
            </w:tcBorders>
            <w:vAlign w:val="center"/>
          </w:tcPr>
          <w:p>
            <w:pPr>
              <w:rPr>
                <w:rFonts w:ascii="新宋体" w:hAnsi="新宋体" w:eastAsia="新宋体"/>
                <w:color w:val="auto"/>
                <w:szCs w:val="21"/>
              </w:rPr>
            </w:pP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6</w:t>
            </w:r>
          </w:p>
        </w:tc>
        <w:tc>
          <w:tcPr>
            <w:tcW w:w="11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项目拟使用的</w:t>
            </w:r>
            <w:r>
              <w:rPr>
                <w:rFonts w:hint="eastAsia" w:ascii="新宋体" w:hAnsi="新宋体" w:eastAsia="新宋体"/>
                <w:color w:val="auto"/>
                <w:szCs w:val="21"/>
                <w:lang w:val="en-US" w:eastAsia="zh-CN"/>
              </w:rPr>
              <w:t>车辆、</w:t>
            </w:r>
            <w:r>
              <w:rPr>
                <w:rFonts w:hint="eastAsia" w:ascii="新宋体" w:hAnsi="新宋体" w:eastAsia="新宋体"/>
                <w:color w:val="auto"/>
                <w:szCs w:val="21"/>
              </w:rPr>
              <w:t>设备等情况</w:t>
            </w: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6</w:t>
            </w:r>
          </w:p>
        </w:tc>
        <w:tc>
          <w:tcPr>
            <w:tcW w:w="5637" w:type="dxa"/>
            <w:gridSpan w:val="3"/>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b/>
                <w:bCs/>
                <w:color w:val="auto"/>
                <w:szCs w:val="21"/>
              </w:rPr>
            </w:pPr>
            <w:r>
              <w:rPr>
                <w:rFonts w:hint="eastAsia" w:ascii="新宋体" w:hAnsi="新宋体" w:eastAsia="新宋体"/>
                <w:b/>
                <w:bCs/>
                <w:color w:val="auto"/>
                <w:szCs w:val="21"/>
              </w:rPr>
              <w:t>评审内容：</w:t>
            </w:r>
          </w:p>
          <w:p>
            <w:pPr>
              <w:rPr>
                <w:rFonts w:ascii="新宋体" w:hAnsi="新宋体" w:eastAsia="新宋体"/>
                <w:color w:val="auto"/>
                <w:szCs w:val="21"/>
              </w:rPr>
            </w:pPr>
            <w:r>
              <w:rPr>
                <w:rFonts w:hint="eastAsia" w:ascii="新宋体" w:hAnsi="新宋体" w:eastAsia="新宋体"/>
                <w:color w:val="auto"/>
                <w:szCs w:val="21"/>
              </w:rPr>
              <w:t>投标人拟投入</w:t>
            </w:r>
            <w:r>
              <w:rPr>
                <w:rFonts w:hint="eastAsia" w:ascii="新宋体" w:hAnsi="新宋体" w:eastAsia="新宋体"/>
                <w:color w:val="auto"/>
                <w:szCs w:val="21"/>
                <w:lang w:val="en-US" w:eastAsia="zh-CN"/>
              </w:rPr>
              <w:t>车辆</w:t>
            </w:r>
            <w:r>
              <w:rPr>
                <w:rFonts w:hint="eastAsia" w:ascii="新宋体" w:hAnsi="新宋体" w:eastAsia="新宋体"/>
                <w:color w:val="auto"/>
                <w:szCs w:val="21"/>
              </w:rPr>
              <w:t>、设备（自有、租赁均可）情况。</w:t>
            </w:r>
          </w:p>
          <w:p>
            <w:pPr>
              <w:rPr>
                <w:rFonts w:ascii="新宋体" w:hAnsi="新宋体" w:eastAsia="新宋体"/>
                <w:color w:val="auto"/>
                <w:szCs w:val="21"/>
              </w:rPr>
            </w:pPr>
            <w:r>
              <w:rPr>
                <w:rFonts w:hint="eastAsia" w:ascii="新宋体" w:hAnsi="新宋体" w:eastAsia="新宋体"/>
                <w:color w:val="auto"/>
                <w:szCs w:val="21"/>
              </w:rPr>
              <w:t>1</w:t>
            </w:r>
            <w:r>
              <w:rPr>
                <w:rFonts w:ascii="新宋体" w:hAnsi="新宋体" w:eastAsia="新宋体"/>
                <w:color w:val="auto"/>
                <w:szCs w:val="21"/>
              </w:rPr>
              <w:t>.不少于</w:t>
            </w:r>
            <w:r>
              <w:rPr>
                <w:rFonts w:hint="eastAsia" w:ascii="新宋体" w:hAnsi="新宋体" w:eastAsia="新宋体"/>
                <w:color w:val="auto"/>
                <w:szCs w:val="21"/>
              </w:rPr>
              <w:t>3辆工作用车，得4</w:t>
            </w:r>
            <w:r>
              <w:rPr>
                <w:rFonts w:ascii="新宋体" w:hAnsi="新宋体" w:eastAsia="新宋体"/>
                <w:color w:val="auto"/>
                <w:szCs w:val="21"/>
              </w:rPr>
              <w:t>分；</w:t>
            </w:r>
          </w:p>
          <w:p>
            <w:pPr>
              <w:rPr>
                <w:rFonts w:ascii="新宋体" w:hAnsi="新宋体" w:eastAsia="新宋体"/>
                <w:color w:val="auto"/>
                <w:szCs w:val="21"/>
              </w:rPr>
            </w:pPr>
            <w:r>
              <w:rPr>
                <w:rFonts w:hint="eastAsia" w:ascii="新宋体" w:hAnsi="新宋体" w:eastAsia="新宋体"/>
                <w:color w:val="auto"/>
                <w:szCs w:val="21"/>
              </w:rPr>
              <w:t>2</w:t>
            </w:r>
            <w:r>
              <w:rPr>
                <w:rFonts w:ascii="新宋体" w:hAnsi="新宋体" w:eastAsia="新宋体"/>
                <w:color w:val="auto"/>
                <w:szCs w:val="21"/>
              </w:rPr>
              <w:t>.有培训使用的</w:t>
            </w:r>
            <w:r>
              <w:rPr>
                <w:rFonts w:hint="eastAsia" w:ascii="新宋体" w:hAnsi="新宋体" w:eastAsia="新宋体"/>
                <w:color w:val="auto"/>
                <w:szCs w:val="21"/>
              </w:rPr>
              <w:t>设备</w:t>
            </w:r>
            <w:r>
              <w:rPr>
                <w:rFonts w:ascii="新宋体" w:hAnsi="新宋体" w:eastAsia="新宋体"/>
                <w:color w:val="auto"/>
                <w:szCs w:val="21"/>
              </w:rPr>
              <w:t>（</w:t>
            </w:r>
            <w:r>
              <w:rPr>
                <w:rFonts w:hint="eastAsia" w:ascii="新宋体" w:hAnsi="新宋体" w:eastAsia="新宋体"/>
                <w:color w:val="auto"/>
                <w:szCs w:val="21"/>
              </w:rPr>
              <w:t>电脑、投影仪</w:t>
            </w:r>
            <w:r>
              <w:rPr>
                <w:rFonts w:ascii="新宋体" w:hAnsi="新宋体" w:eastAsia="新宋体"/>
                <w:color w:val="auto"/>
                <w:szCs w:val="21"/>
              </w:rPr>
              <w:t>）</w:t>
            </w:r>
            <w:r>
              <w:rPr>
                <w:rFonts w:hint="eastAsia" w:ascii="新宋体" w:hAnsi="新宋体" w:eastAsia="新宋体"/>
                <w:color w:val="auto"/>
                <w:szCs w:val="21"/>
              </w:rPr>
              <w:t>的，得2分。</w:t>
            </w:r>
            <w:r>
              <w:rPr>
                <w:rFonts w:ascii="新宋体" w:hAnsi="新宋体" w:eastAsia="新宋体"/>
                <w:color w:val="auto"/>
                <w:szCs w:val="21"/>
              </w:rPr>
              <w:br w:type="textWrapping"/>
            </w:r>
            <w:r>
              <w:rPr>
                <w:rFonts w:hint="eastAsia" w:ascii="新宋体" w:hAnsi="新宋体" w:eastAsia="新宋体"/>
                <w:b/>
                <w:bCs/>
                <w:color w:val="auto"/>
                <w:szCs w:val="21"/>
              </w:rPr>
              <w:t>评分标准：</w:t>
            </w:r>
          </w:p>
          <w:p>
            <w:pPr>
              <w:rPr>
                <w:rFonts w:ascii="新宋体" w:hAnsi="新宋体" w:eastAsia="新宋体"/>
                <w:color w:val="auto"/>
                <w:szCs w:val="21"/>
              </w:rPr>
            </w:pPr>
            <w:r>
              <w:rPr>
                <w:rFonts w:hint="eastAsia" w:ascii="新宋体" w:hAnsi="新宋体" w:eastAsia="新宋体" w:cs="宋体"/>
                <w:color w:val="auto"/>
                <w:szCs w:val="21"/>
                <w:lang w:val="en-US" w:eastAsia="zh-CN"/>
              </w:rPr>
              <w:t>1.提供车辆行驶证，提供设备的购买发票及图片作为得分依据，提供租赁车辆、设备的，还需同时提供租赁合同关键页，作为得分依据。</w:t>
            </w:r>
            <w:r>
              <w:rPr>
                <w:rFonts w:hint="eastAsia" w:ascii="新宋体" w:hAnsi="新宋体" w:eastAsia="新宋体"/>
                <w:color w:val="auto"/>
                <w:szCs w:val="21"/>
              </w:rPr>
              <w:br w:type="textWrapping"/>
            </w:r>
            <w:r>
              <w:rPr>
                <w:rFonts w:ascii="新宋体" w:hAnsi="新宋体" w:eastAsia="新宋体"/>
                <w:color w:val="auto"/>
                <w:szCs w:val="21"/>
              </w:rPr>
              <w:t>2</w:t>
            </w:r>
            <w:r>
              <w:rPr>
                <w:rFonts w:hint="eastAsia" w:ascii="新宋体" w:hAnsi="新宋体" w:eastAsia="新宋体"/>
                <w:color w:val="auto"/>
                <w:szCs w:val="21"/>
              </w:rPr>
              <w:t>.以上资料均要求提供扫描或复印件，原件备查。</w:t>
            </w:r>
            <w:r>
              <w:rPr>
                <w:rFonts w:ascii="新宋体" w:hAnsi="新宋体" w:eastAsia="新宋体"/>
                <w:color w:val="auto"/>
                <w:szCs w:val="21"/>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 w:hRule="atLeast"/>
          <w:jc w:val="center"/>
        </w:trPr>
        <w:tc>
          <w:tcPr>
            <w:tcW w:w="734" w:type="dxa"/>
            <w:gridSpan w:val="2"/>
            <w:vMerge w:val="continue"/>
            <w:tcBorders>
              <w:left w:val="single" w:color="auto" w:sz="4" w:space="0"/>
              <w:right w:val="single" w:color="auto" w:sz="4" w:space="0"/>
            </w:tcBorders>
            <w:vAlign w:val="center"/>
          </w:tcPr>
          <w:p>
            <w:pPr>
              <w:rPr>
                <w:rFonts w:ascii="新宋体" w:hAnsi="新宋体" w:eastAsia="新宋体"/>
                <w:color w:val="auto"/>
                <w:szCs w:val="21"/>
              </w:rPr>
            </w:pP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7</w:t>
            </w:r>
          </w:p>
        </w:tc>
        <w:tc>
          <w:tcPr>
            <w:tcW w:w="110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服务网点</w:t>
            </w:r>
          </w:p>
        </w:tc>
        <w:tc>
          <w:tcPr>
            <w:tcW w:w="116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olor w:val="auto"/>
                <w:szCs w:val="21"/>
              </w:rPr>
            </w:pPr>
            <w:r>
              <w:rPr>
                <w:rFonts w:hint="eastAsia" w:ascii="新宋体" w:hAnsi="新宋体" w:eastAsia="新宋体"/>
                <w:color w:val="auto"/>
                <w:szCs w:val="21"/>
              </w:rPr>
              <w:t>3</w:t>
            </w:r>
          </w:p>
        </w:tc>
        <w:tc>
          <w:tcPr>
            <w:tcW w:w="5637" w:type="dxa"/>
            <w:gridSpan w:val="3"/>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宋体"/>
                <w:color w:val="auto"/>
                <w:szCs w:val="21"/>
              </w:rPr>
            </w:pPr>
            <w:r>
              <w:rPr>
                <w:rFonts w:hint="eastAsia" w:ascii="新宋体" w:hAnsi="新宋体" w:eastAsia="新宋体" w:cs="宋体"/>
                <w:color w:val="auto"/>
                <w:szCs w:val="21"/>
              </w:rPr>
              <w:t>1.深圳供应商，或非深圳供应商但在深圳有合法注册的分公司（或售后机构）（分公司的必须提供分公司营业执照扫描件，售后机构必须同时提供售后服务合作合同及售后机构营业执照扫描或复印件作为得分依据，原件备查）的，得3分；否则不得分。</w:t>
            </w:r>
          </w:p>
          <w:p>
            <w:pPr>
              <w:rPr>
                <w:rFonts w:ascii="新宋体" w:hAnsi="新宋体" w:eastAsia="新宋体" w:cs="宋体"/>
                <w:color w:val="auto"/>
                <w:szCs w:val="21"/>
              </w:rPr>
            </w:pPr>
            <w:r>
              <w:rPr>
                <w:rFonts w:hint="eastAsia" w:ascii="新宋体" w:hAnsi="新宋体" w:eastAsia="新宋体" w:cs="宋体"/>
                <w:color w:val="auto"/>
                <w:szCs w:val="21"/>
              </w:rPr>
              <w:t>2.外地供应商承诺：中标后设立本地经营（服务）网点的，提供承诺文件（格式自定）的，得3分；未提供承诺或承诺内容不满足要求均不得分。</w:t>
            </w:r>
          </w:p>
        </w:tc>
      </w:tr>
    </w:tbl>
    <w:p>
      <w:pPr>
        <w:pStyle w:val="5"/>
        <w:rPr>
          <w:color w:val="auto"/>
        </w:rPr>
      </w:pPr>
      <w:bookmarkStart w:id="1" w:name="InsertEnd"/>
      <w:bookmarkEnd w:id="1"/>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B3B835"/>
    <w:multiLevelType w:val="singleLevel"/>
    <w:tmpl w:val="68B3B8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2ZWE1MzJlYzhlMzYwM2NlNjg2NGE5OWUzY2ZhZTgifQ=="/>
  </w:docVars>
  <w:rsids>
    <w:rsidRoot w:val="00692C71"/>
    <w:rsid w:val="00001B11"/>
    <w:rsid w:val="000047B8"/>
    <w:rsid w:val="000205DF"/>
    <w:rsid w:val="00030134"/>
    <w:rsid w:val="00036FEC"/>
    <w:rsid w:val="000476E6"/>
    <w:rsid w:val="0005348C"/>
    <w:rsid w:val="00081C3E"/>
    <w:rsid w:val="0008221C"/>
    <w:rsid w:val="000936A5"/>
    <w:rsid w:val="00094867"/>
    <w:rsid w:val="0009605C"/>
    <w:rsid w:val="000C3547"/>
    <w:rsid w:val="000C5DD0"/>
    <w:rsid w:val="000D26AF"/>
    <w:rsid w:val="000D2BBF"/>
    <w:rsid w:val="000D4A06"/>
    <w:rsid w:val="000F09BD"/>
    <w:rsid w:val="000F43D9"/>
    <w:rsid w:val="000F501A"/>
    <w:rsid w:val="00100C78"/>
    <w:rsid w:val="00101570"/>
    <w:rsid w:val="001274F0"/>
    <w:rsid w:val="0012763F"/>
    <w:rsid w:val="00140680"/>
    <w:rsid w:val="0017001D"/>
    <w:rsid w:val="00177339"/>
    <w:rsid w:val="00177B06"/>
    <w:rsid w:val="00184EC9"/>
    <w:rsid w:val="0019100D"/>
    <w:rsid w:val="00195D6B"/>
    <w:rsid w:val="001B4228"/>
    <w:rsid w:val="001B7C48"/>
    <w:rsid w:val="001C1049"/>
    <w:rsid w:val="001C36BC"/>
    <w:rsid w:val="001E28BC"/>
    <w:rsid w:val="001E51BD"/>
    <w:rsid w:val="001F2302"/>
    <w:rsid w:val="001F40C2"/>
    <w:rsid w:val="001F6BDF"/>
    <w:rsid w:val="00233958"/>
    <w:rsid w:val="00242FE9"/>
    <w:rsid w:val="00243350"/>
    <w:rsid w:val="00263A10"/>
    <w:rsid w:val="00264ED5"/>
    <w:rsid w:val="002702BF"/>
    <w:rsid w:val="00277730"/>
    <w:rsid w:val="00285A46"/>
    <w:rsid w:val="002931A9"/>
    <w:rsid w:val="00293DD1"/>
    <w:rsid w:val="0029418E"/>
    <w:rsid w:val="00297DD3"/>
    <w:rsid w:val="002B5169"/>
    <w:rsid w:val="002C13CD"/>
    <w:rsid w:val="002C1E60"/>
    <w:rsid w:val="002D0494"/>
    <w:rsid w:val="00320DB1"/>
    <w:rsid w:val="0032717B"/>
    <w:rsid w:val="003354D2"/>
    <w:rsid w:val="00343543"/>
    <w:rsid w:val="003446E3"/>
    <w:rsid w:val="00364A6C"/>
    <w:rsid w:val="00375F51"/>
    <w:rsid w:val="00396780"/>
    <w:rsid w:val="003A0718"/>
    <w:rsid w:val="003A4CC5"/>
    <w:rsid w:val="003A535B"/>
    <w:rsid w:val="003C15E5"/>
    <w:rsid w:val="003C3850"/>
    <w:rsid w:val="003C4445"/>
    <w:rsid w:val="003C6B92"/>
    <w:rsid w:val="003E6E5D"/>
    <w:rsid w:val="003F676C"/>
    <w:rsid w:val="00406DFC"/>
    <w:rsid w:val="00411876"/>
    <w:rsid w:val="00415519"/>
    <w:rsid w:val="00446A08"/>
    <w:rsid w:val="0044752A"/>
    <w:rsid w:val="00452A9C"/>
    <w:rsid w:val="004545A9"/>
    <w:rsid w:val="00463FCE"/>
    <w:rsid w:val="00476B36"/>
    <w:rsid w:val="004A32A6"/>
    <w:rsid w:val="004A66F4"/>
    <w:rsid w:val="004A7A2C"/>
    <w:rsid w:val="004B051C"/>
    <w:rsid w:val="004C24C3"/>
    <w:rsid w:val="004C571F"/>
    <w:rsid w:val="004E72AC"/>
    <w:rsid w:val="004F67E7"/>
    <w:rsid w:val="005352EB"/>
    <w:rsid w:val="00540A8A"/>
    <w:rsid w:val="00583532"/>
    <w:rsid w:val="0058714E"/>
    <w:rsid w:val="005D2BB1"/>
    <w:rsid w:val="005E29A7"/>
    <w:rsid w:val="005E7234"/>
    <w:rsid w:val="005F1C88"/>
    <w:rsid w:val="00616FB5"/>
    <w:rsid w:val="00623134"/>
    <w:rsid w:val="00634472"/>
    <w:rsid w:val="00645D64"/>
    <w:rsid w:val="006460A1"/>
    <w:rsid w:val="006548BC"/>
    <w:rsid w:val="0066740B"/>
    <w:rsid w:val="00687381"/>
    <w:rsid w:val="00690DD7"/>
    <w:rsid w:val="00692C71"/>
    <w:rsid w:val="006940A7"/>
    <w:rsid w:val="006B4DCC"/>
    <w:rsid w:val="006B5E05"/>
    <w:rsid w:val="006B6D93"/>
    <w:rsid w:val="006E42CE"/>
    <w:rsid w:val="006E7C6C"/>
    <w:rsid w:val="00703F19"/>
    <w:rsid w:val="00723223"/>
    <w:rsid w:val="00727BEA"/>
    <w:rsid w:val="00731F43"/>
    <w:rsid w:val="00744D44"/>
    <w:rsid w:val="0075025A"/>
    <w:rsid w:val="0077485F"/>
    <w:rsid w:val="00776AD6"/>
    <w:rsid w:val="00787481"/>
    <w:rsid w:val="00787726"/>
    <w:rsid w:val="007A08ED"/>
    <w:rsid w:val="007E027D"/>
    <w:rsid w:val="008154D6"/>
    <w:rsid w:val="008212C8"/>
    <w:rsid w:val="00842C7F"/>
    <w:rsid w:val="00845CE3"/>
    <w:rsid w:val="00850872"/>
    <w:rsid w:val="00861B3D"/>
    <w:rsid w:val="00873496"/>
    <w:rsid w:val="00875338"/>
    <w:rsid w:val="00894D93"/>
    <w:rsid w:val="00895E57"/>
    <w:rsid w:val="008962C5"/>
    <w:rsid w:val="008A58AC"/>
    <w:rsid w:val="008F653B"/>
    <w:rsid w:val="00912ED7"/>
    <w:rsid w:val="00913B65"/>
    <w:rsid w:val="00915516"/>
    <w:rsid w:val="0093697C"/>
    <w:rsid w:val="00951C8B"/>
    <w:rsid w:val="009568B2"/>
    <w:rsid w:val="009659E8"/>
    <w:rsid w:val="00974D39"/>
    <w:rsid w:val="00980806"/>
    <w:rsid w:val="009856D2"/>
    <w:rsid w:val="009A5F8B"/>
    <w:rsid w:val="009B43D6"/>
    <w:rsid w:val="009C7BA7"/>
    <w:rsid w:val="009E799C"/>
    <w:rsid w:val="009F2BA9"/>
    <w:rsid w:val="009F5B4C"/>
    <w:rsid w:val="00A0164C"/>
    <w:rsid w:val="00A15630"/>
    <w:rsid w:val="00A42E6F"/>
    <w:rsid w:val="00A66F7C"/>
    <w:rsid w:val="00A74191"/>
    <w:rsid w:val="00A87C66"/>
    <w:rsid w:val="00A909D7"/>
    <w:rsid w:val="00A917E9"/>
    <w:rsid w:val="00A9333C"/>
    <w:rsid w:val="00AC2D0D"/>
    <w:rsid w:val="00B05458"/>
    <w:rsid w:val="00B15EA1"/>
    <w:rsid w:val="00B24F4E"/>
    <w:rsid w:val="00B3703C"/>
    <w:rsid w:val="00B400BD"/>
    <w:rsid w:val="00B445EB"/>
    <w:rsid w:val="00B45EA9"/>
    <w:rsid w:val="00B62FCC"/>
    <w:rsid w:val="00B85B91"/>
    <w:rsid w:val="00BA110D"/>
    <w:rsid w:val="00BA398F"/>
    <w:rsid w:val="00BB13DF"/>
    <w:rsid w:val="00BC2854"/>
    <w:rsid w:val="00BE5644"/>
    <w:rsid w:val="00C0234A"/>
    <w:rsid w:val="00C02706"/>
    <w:rsid w:val="00C21235"/>
    <w:rsid w:val="00C2169F"/>
    <w:rsid w:val="00C22973"/>
    <w:rsid w:val="00C3561A"/>
    <w:rsid w:val="00C40C71"/>
    <w:rsid w:val="00C4528F"/>
    <w:rsid w:val="00C453DF"/>
    <w:rsid w:val="00C50E3F"/>
    <w:rsid w:val="00C6228E"/>
    <w:rsid w:val="00C74555"/>
    <w:rsid w:val="00C759AB"/>
    <w:rsid w:val="00C82A83"/>
    <w:rsid w:val="00C87502"/>
    <w:rsid w:val="00CB5D52"/>
    <w:rsid w:val="00CC0DE1"/>
    <w:rsid w:val="00CD0A2C"/>
    <w:rsid w:val="00CD610F"/>
    <w:rsid w:val="00CD6122"/>
    <w:rsid w:val="00CE16AD"/>
    <w:rsid w:val="00CE55AA"/>
    <w:rsid w:val="00CF2FA5"/>
    <w:rsid w:val="00CF62D5"/>
    <w:rsid w:val="00D10857"/>
    <w:rsid w:val="00D13D84"/>
    <w:rsid w:val="00D17E36"/>
    <w:rsid w:val="00D27422"/>
    <w:rsid w:val="00D47794"/>
    <w:rsid w:val="00D67448"/>
    <w:rsid w:val="00D67DD4"/>
    <w:rsid w:val="00D7211C"/>
    <w:rsid w:val="00D727CA"/>
    <w:rsid w:val="00D752F9"/>
    <w:rsid w:val="00D821DD"/>
    <w:rsid w:val="00D846B1"/>
    <w:rsid w:val="00DA43B1"/>
    <w:rsid w:val="00DC4DDC"/>
    <w:rsid w:val="00DC754B"/>
    <w:rsid w:val="00DD268E"/>
    <w:rsid w:val="00DE1392"/>
    <w:rsid w:val="00DE74CD"/>
    <w:rsid w:val="00DE7FD5"/>
    <w:rsid w:val="00E009CB"/>
    <w:rsid w:val="00E0159E"/>
    <w:rsid w:val="00E04E32"/>
    <w:rsid w:val="00E068F0"/>
    <w:rsid w:val="00E27C65"/>
    <w:rsid w:val="00E41008"/>
    <w:rsid w:val="00E41B58"/>
    <w:rsid w:val="00E56812"/>
    <w:rsid w:val="00E62730"/>
    <w:rsid w:val="00E83E46"/>
    <w:rsid w:val="00E84BC4"/>
    <w:rsid w:val="00EC50F0"/>
    <w:rsid w:val="00EE4CBD"/>
    <w:rsid w:val="00EF7AF8"/>
    <w:rsid w:val="00F06117"/>
    <w:rsid w:val="00F2463A"/>
    <w:rsid w:val="00F30EF0"/>
    <w:rsid w:val="00F318F3"/>
    <w:rsid w:val="00F6135C"/>
    <w:rsid w:val="00F74048"/>
    <w:rsid w:val="00F77DAC"/>
    <w:rsid w:val="00F86026"/>
    <w:rsid w:val="00FA49AE"/>
    <w:rsid w:val="00FB79D9"/>
    <w:rsid w:val="00FB7F81"/>
    <w:rsid w:val="00FC74CE"/>
    <w:rsid w:val="00FE1932"/>
    <w:rsid w:val="00FF7639"/>
    <w:rsid w:val="00FF7F8B"/>
    <w:rsid w:val="012F064E"/>
    <w:rsid w:val="01D50B3C"/>
    <w:rsid w:val="022843FF"/>
    <w:rsid w:val="02CC5742"/>
    <w:rsid w:val="03C67A5A"/>
    <w:rsid w:val="03CD23AE"/>
    <w:rsid w:val="03EF0827"/>
    <w:rsid w:val="04131DAB"/>
    <w:rsid w:val="043028B5"/>
    <w:rsid w:val="049E7A5B"/>
    <w:rsid w:val="054F1673"/>
    <w:rsid w:val="05DD7CF2"/>
    <w:rsid w:val="05F96ED4"/>
    <w:rsid w:val="06613F96"/>
    <w:rsid w:val="06D40A9A"/>
    <w:rsid w:val="073714AF"/>
    <w:rsid w:val="074A496C"/>
    <w:rsid w:val="07C71131"/>
    <w:rsid w:val="08CB004D"/>
    <w:rsid w:val="08F85810"/>
    <w:rsid w:val="090F06BE"/>
    <w:rsid w:val="09671C32"/>
    <w:rsid w:val="09783B18"/>
    <w:rsid w:val="09C921B5"/>
    <w:rsid w:val="0A753CC7"/>
    <w:rsid w:val="0B41092F"/>
    <w:rsid w:val="0B600B77"/>
    <w:rsid w:val="0B6E3929"/>
    <w:rsid w:val="0B8510AA"/>
    <w:rsid w:val="0BF4521F"/>
    <w:rsid w:val="0C131DD2"/>
    <w:rsid w:val="0C226156"/>
    <w:rsid w:val="0C5A427A"/>
    <w:rsid w:val="0CA535B9"/>
    <w:rsid w:val="0D316CD3"/>
    <w:rsid w:val="0D3B001A"/>
    <w:rsid w:val="0D442977"/>
    <w:rsid w:val="0E047C31"/>
    <w:rsid w:val="0E276A2F"/>
    <w:rsid w:val="0E42727E"/>
    <w:rsid w:val="0E547D42"/>
    <w:rsid w:val="0E63434D"/>
    <w:rsid w:val="0F7C350D"/>
    <w:rsid w:val="0FB43DCB"/>
    <w:rsid w:val="0FDC4F67"/>
    <w:rsid w:val="100E10B7"/>
    <w:rsid w:val="10B407E9"/>
    <w:rsid w:val="112C3A82"/>
    <w:rsid w:val="119B5A47"/>
    <w:rsid w:val="11C01491"/>
    <w:rsid w:val="11EB0EDF"/>
    <w:rsid w:val="12636D0D"/>
    <w:rsid w:val="12EC7CBC"/>
    <w:rsid w:val="13895C28"/>
    <w:rsid w:val="13EC4010"/>
    <w:rsid w:val="145E61E8"/>
    <w:rsid w:val="14937741"/>
    <w:rsid w:val="14A67E12"/>
    <w:rsid w:val="156519A7"/>
    <w:rsid w:val="15756066"/>
    <w:rsid w:val="15A4545E"/>
    <w:rsid w:val="163C64F8"/>
    <w:rsid w:val="16864889"/>
    <w:rsid w:val="16A015AC"/>
    <w:rsid w:val="16A61A8B"/>
    <w:rsid w:val="16E37F26"/>
    <w:rsid w:val="172B7923"/>
    <w:rsid w:val="1740060D"/>
    <w:rsid w:val="175F86A7"/>
    <w:rsid w:val="180836C0"/>
    <w:rsid w:val="181C77E7"/>
    <w:rsid w:val="18553FE3"/>
    <w:rsid w:val="1856027F"/>
    <w:rsid w:val="1937308D"/>
    <w:rsid w:val="194C35F4"/>
    <w:rsid w:val="199E190C"/>
    <w:rsid w:val="19DA7A9A"/>
    <w:rsid w:val="1A5638AB"/>
    <w:rsid w:val="1A733B97"/>
    <w:rsid w:val="1A8464C3"/>
    <w:rsid w:val="1AB238F1"/>
    <w:rsid w:val="1AC929D5"/>
    <w:rsid w:val="1AEF0870"/>
    <w:rsid w:val="1B402DE2"/>
    <w:rsid w:val="1B9C288C"/>
    <w:rsid w:val="1BCC21A2"/>
    <w:rsid w:val="1C052F25"/>
    <w:rsid w:val="1C5533E1"/>
    <w:rsid w:val="1CCE5E4B"/>
    <w:rsid w:val="1D342654"/>
    <w:rsid w:val="1D882B24"/>
    <w:rsid w:val="1E43317D"/>
    <w:rsid w:val="1E621811"/>
    <w:rsid w:val="1EAD1DC7"/>
    <w:rsid w:val="1EC80FF8"/>
    <w:rsid w:val="1F29542D"/>
    <w:rsid w:val="1F2E073E"/>
    <w:rsid w:val="1FC461A7"/>
    <w:rsid w:val="1FEB60C3"/>
    <w:rsid w:val="203E4229"/>
    <w:rsid w:val="20454B49"/>
    <w:rsid w:val="20D93091"/>
    <w:rsid w:val="213B350D"/>
    <w:rsid w:val="21955E6F"/>
    <w:rsid w:val="220E75CF"/>
    <w:rsid w:val="227A28C6"/>
    <w:rsid w:val="229B7BB9"/>
    <w:rsid w:val="22A94131"/>
    <w:rsid w:val="22B51EBB"/>
    <w:rsid w:val="22FA0615"/>
    <w:rsid w:val="231622F4"/>
    <w:rsid w:val="23E40DFA"/>
    <w:rsid w:val="241D513E"/>
    <w:rsid w:val="25765159"/>
    <w:rsid w:val="25FE2FA3"/>
    <w:rsid w:val="262230CB"/>
    <w:rsid w:val="26576263"/>
    <w:rsid w:val="26830505"/>
    <w:rsid w:val="274259BC"/>
    <w:rsid w:val="28723279"/>
    <w:rsid w:val="2A0B0AA8"/>
    <w:rsid w:val="2C032FF9"/>
    <w:rsid w:val="2C6E04FA"/>
    <w:rsid w:val="2CAB0FCE"/>
    <w:rsid w:val="2D00517D"/>
    <w:rsid w:val="2D7009C9"/>
    <w:rsid w:val="2D830F82"/>
    <w:rsid w:val="2E3666F1"/>
    <w:rsid w:val="2E8B1BA6"/>
    <w:rsid w:val="2E8C2405"/>
    <w:rsid w:val="2EA92071"/>
    <w:rsid w:val="2F280804"/>
    <w:rsid w:val="2FB86A7C"/>
    <w:rsid w:val="30017C33"/>
    <w:rsid w:val="30CD6839"/>
    <w:rsid w:val="31135EDD"/>
    <w:rsid w:val="31F41A91"/>
    <w:rsid w:val="325355BC"/>
    <w:rsid w:val="328E3BC4"/>
    <w:rsid w:val="32CE7713"/>
    <w:rsid w:val="32E15FE1"/>
    <w:rsid w:val="337F521F"/>
    <w:rsid w:val="33E35D8A"/>
    <w:rsid w:val="34045419"/>
    <w:rsid w:val="3408422A"/>
    <w:rsid w:val="34F866F1"/>
    <w:rsid w:val="355317D3"/>
    <w:rsid w:val="356A5946"/>
    <w:rsid w:val="35746CC3"/>
    <w:rsid w:val="35D85866"/>
    <w:rsid w:val="35F944CB"/>
    <w:rsid w:val="35FB164C"/>
    <w:rsid w:val="36137EEF"/>
    <w:rsid w:val="36386F41"/>
    <w:rsid w:val="36FE266E"/>
    <w:rsid w:val="37170747"/>
    <w:rsid w:val="38236905"/>
    <w:rsid w:val="382E3761"/>
    <w:rsid w:val="385235C5"/>
    <w:rsid w:val="3855385E"/>
    <w:rsid w:val="38D60906"/>
    <w:rsid w:val="390662C7"/>
    <w:rsid w:val="39ED482B"/>
    <w:rsid w:val="3AAE112D"/>
    <w:rsid w:val="3B7FDF7B"/>
    <w:rsid w:val="3BC45BBF"/>
    <w:rsid w:val="3BE23FEB"/>
    <w:rsid w:val="3C15158C"/>
    <w:rsid w:val="3C2673F6"/>
    <w:rsid w:val="3C9929A9"/>
    <w:rsid w:val="3D1027E9"/>
    <w:rsid w:val="3D2B0E8E"/>
    <w:rsid w:val="3EA65355"/>
    <w:rsid w:val="3F7F0F28"/>
    <w:rsid w:val="3FBE42F6"/>
    <w:rsid w:val="3FCC520D"/>
    <w:rsid w:val="40215156"/>
    <w:rsid w:val="4024331B"/>
    <w:rsid w:val="406C0F45"/>
    <w:rsid w:val="406D5826"/>
    <w:rsid w:val="40940307"/>
    <w:rsid w:val="41160467"/>
    <w:rsid w:val="412145B9"/>
    <w:rsid w:val="41DA0E48"/>
    <w:rsid w:val="4205735B"/>
    <w:rsid w:val="42D5449C"/>
    <w:rsid w:val="42DC71D3"/>
    <w:rsid w:val="43821898"/>
    <w:rsid w:val="43995EE6"/>
    <w:rsid w:val="45552196"/>
    <w:rsid w:val="45B77314"/>
    <w:rsid w:val="4680094D"/>
    <w:rsid w:val="46E3027B"/>
    <w:rsid w:val="47B46CC6"/>
    <w:rsid w:val="47D7069B"/>
    <w:rsid w:val="48426824"/>
    <w:rsid w:val="48BD0415"/>
    <w:rsid w:val="48F61606"/>
    <w:rsid w:val="49A41AC2"/>
    <w:rsid w:val="4A1D6BD6"/>
    <w:rsid w:val="4A6368B8"/>
    <w:rsid w:val="4A7E6E3C"/>
    <w:rsid w:val="4ACC129E"/>
    <w:rsid w:val="4AD7089A"/>
    <w:rsid w:val="4B110F46"/>
    <w:rsid w:val="4B862BDE"/>
    <w:rsid w:val="4BBD267B"/>
    <w:rsid w:val="4C500554"/>
    <w:rsid w:val="4C710D49"/>
    <w:rsid w:val="4C726B2A"/>
    <w:rsid w:val="4D371271"/>
    <w:rsid w:val="4D525739"/>
    <w:rsid w:val="4D9233BA"/>
    <w:rsid w:val="4DFF67AC"/>
    <w:rsid w:val="4E1B6D7C"/>
    <w:rsid w:val="4E944EA9"/>
    <w:rsid w:val="4EBE756E"/>
    <w:rsid w:val="4F323E88"/>
    <w:rsid w:val="51246943"/>
    <w:rsid w:val="5245699D"/>
    <w:rsid w:val="52674F84"/>
    <w:rsid w:val="5328381D"/>
    <w:rsid w:val="535C16E2"/>
    <w:rsid w:val="53992745"/>
    <w:rsid w:val="53A11BFE"/>
    <w:rsid w:val="53C003D5"/>
    <w:rsid w:val="53C959E4"/>
    <w:rsid w:val="53D83CA9"/>
    <w:rsid w:val="549E5C78"/>
    <w:rsid w:val="56050989"/>
    <w:rsid w:val="56DD6D49"/>
    <w:rsid w:val="57574964"/>
    <w:rsid w:val="57CA4E5C"/>
    <w:rsid w:val="57D83102"/>
    <w:rsid w:val="58376B7F"/>
    <w:rsid w:val="583E2B3F"/>
    <w:rsid w:val="58671D01"/>
    <w:rsid w:val="58D84858"/>
    <w:rsid w:val="591E6971"/>
    <w:rsid w:val="59F2270A"/>
    <w:rsid w:val="5A096502"/>
    <w:rsid w:val="5A6D0190"/>
    <w:rsid w:val="5AC25BED"/>
    <w:rsid w:val="5ACB37B8"/>
    <w:rsid w:val="5B1A4C02"/>
    <w:rsid w:val="5B5B6C80"/>
    <w:rsid w:val="5BD767CD"/>
    <w:rsid w:val="5BEC1CEE"/>
    <w:rsid w:val="5BFA6FA7"/>
    <w:rsid w:val="5BFB0E1A"/>
    <w:rsid w:val="5D060588"/>
    <w:rsid w:val="5D6725A8"/>
    <w:rsid w:val="5DF3055F"/>
    <w:rsid w:val="5E427F87"/>
    <w:rsid w:val="5E69330B"/>
    <w:rsid w:val="5E966B58"/>
    <w:rsid w:val="5EFF6FC0"/>
    <w:rsid w:val="5F2C38A4"/>
    <w:rsid w:val="5F7F96CF"/>
    <w:rsid w:val="5F9D57FF"/>
    <w:rsid w:val="5FB58B59"/>
    <w:rsid w:val="60062B92"/>
    <w:rsid w:val="6028035A"/>
    <w:rsid w:val="603B4F3C"/>
    <w:rsid w:val="60D95E20"/>
    <w:rsid w:val="617B1C0A"/>
    <w:rsid w:val="61B456E3"/>
    <w:rsid w:val="61FA589B"/>
    <w:rsid w:val="629111C7"/>
    <w:rsid w:val="62DC0A99"/>
    <w:rsid w:val="634117A9"/>
    <w:rsid w:val="639E432A"/>
    <w:rsid w:val="63A91BBD"/>
    <w:rsid w:val="641E54F7"/>
    <w:rsid w:val="646B2AC6"/>
    <w:rsid w:val="649B1E63"/>
    <w:rsid w:val="6530766E"/>
    <w:rsid w:val="65D40D9B"/>
    <w:rsid w:val="65F87A69"/>
    <w:rsid w:val="660350D3"/>
    <w:rsid w:val="66067680"/>
    <w:rsid w:val="661071C7"/>
    <w:rsid w:val="663223F1"/>
    <w:rsid w:val="66395C74"/>
    <w:rsid w:val="664E68F9"/>
    <w:rsid w:val="67404F46"/>
    <w:rsid w:val="678D4217"/>
    <w:rsid w:val="681E556D"/>
    <w:rsid w:val="696E3950"/>
    <w:rsid w:val="69740479"/>
    <w:rsid w:val="69AD1BA5"/>
    <w:rsid w:val="69C668A7"/>
    <w:rsid w:val="6A5EE551"/>
    <w:rsid w:val="6AF976D4"/>
    <w:rsid w:val="6B500FD5"/>
    <w:rsid w:val="6B527964"/>
    <w:rsid w:val="6B730228"/>
    <w:rsid w:val="6B772B94"/>
    <w:rsid w:val="6B9B0969"/>
    <w:rsid w:val="6C1B18D3"/>
    <w:rsid w:val="6C2A5CA7"/>
    <w:rsid w:val="6CF6409F"/>
    <w:rsid w:val="6D7FEAA8"/>
    <w:rsid w:val="6DEA0E52"/>
    <w:rsid w:val="6DF1291C"/>
    <w:rsid w:val="6DFD795F"/>
    <w:rsid w:val="6E05538B"/>
    <w:rsid w:val="6E0E569A"/>
    <w:rsid w:val="6E2942D6"/>
    <w:rsid w:val="6E643651"/>
    <w:rsid w:val="6EEE4F76"/>
    <w:rsid w:val="6F067709"/>
    <w:rsid w:val="6F37E374"/>
    <w:rsid w:val="6F640E61"/>
    <w:rsid w:val="6F77B627"/>
    <w:rsid w:val="6FCB17F5"/>
    <w:rsid w:val="6FE75EDA"/>
    <w:rsid w:val="6FEC396F"/>
    <w:rsid w:val="6FEEB5BD"/>
    <w:rsid w:val="701E3A04"/>
    <w:rsid w:val="701E479D"/>
    <w:rsid w:val="707A24E8"/>
    <w:rsid w:val="717C4C66"/>
    <w:rsid w:val="71A653FD"/>
    <w:rsid w:val="7386683C"/>
    <w:rsid w:val="73AD4FDE"/>
    <w:rsid w:val="73CD63C4"/>
    <w:rsid w:val="73DB3AB2"/>
    <w:rsid w:val="73ED07EB"/>
    <w:rsid w:val="7477082B"/>
    <w:rsid w:val="74CC6B12"/>
    <w:rsid w:val="75233BAF"/>
    <w:rsid w:val="75395973"/>
    <w:rsid w:val="75AB5103"/>
    <w:rsid w:val="75C13402"/>
    <w:rsid w:val="75D72934"/>
    <w:rsid w:val="766D64D9"/>
    <w:rsid w:val="77A22356"/>
    <w:rsid w:val="78075D8D"/>
    <w:rsid w:val="781C7011"/>
    <w:rsid w:val="78456F61"/>
    <w:rsid w:val="7895208A"/>
    <w:rsid w:val="78B32E00"/>
    <w:rsid w:val="78CE5ACF"/>
    <w:rsid w:val="79674E76"/>
    <w:rsid w:val="79926471"/>
    <w:rsid w:val="7A795C94"/>
    <w:rsid w:val="7A7F4DDE"/>
    <w:rsid w:val="7AD34FC1"/>
    <w:rsid w:val="7B190527"/>
    <w:rsid w:val="7B495407"/>
    <w:rsid w:val="7BBF4AB3"/>
    <w:rsid w:val="7BE60EC1"/>
    <w:rsid w:val="7BF85C76"/>
    <w:rsid w:val="7C4A7BAE"/>
    <w:rsid w:val="7C514BA5"/>
    <w:rsid w:val="7C8D15AA"/>
    <w:rsid w:val="7C9F0F97"/>
    <w:rsid w:val="7D797121"/>
    <w:rsid w:val="7E654022"/>
    <w:rsid w:val="7ED73821"/>
    <w:rsid w:val="9F2F2842"/>
    <w:rsid w:val="AFFB07E5"/>
    <w:rsid w:val="BFE73C0D"/>
    <w:rsid w:val="C6F797D4"/>
    <w:rsid w:val="D7DFE09B"/>
    <w:rsid w:val="D9BE61B7"/>
    <w:rsid w:val="DFFFACE5"/>
    <w:rsid w:val="EDB72D04"/>
    <w:rsid w:val="EDFC1196"/>
    <w:rsid w:val="EFE76751"/>
    <w:rsid w:val="EFFB1FF6"/>
    <w:rsid w:val="F1AB9D46"/>
    <w:rsid w:val="F9FDFB47"/>
    <w:rsid w:val="FF7B6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3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33"/>
    <w:qFormat/>
    <w:uiPriority w:val="0"/>
    <w:pPr>
      <w:ind w:firstLine="420"/>
    </w:pPr>
    <w:rPr>
      <w:rFonts w:ascii="Times New Roman" w:hAnsi="Times New Roman" w:eastAsia="宋体" w:cs="Times New Roman"/>
      <w:szCs w:val="20"/>
    </w:rPr>
  </w:style>
  <w:style w:type="paragraph" w:styleId="4">
    <w:name w:val="annotation text"/>
    <w:basedOn w:val="1"/>
    <w:link w:val="25"/>
    <w:qFormat/>
    <w:uiPriority w:val="0"/>
    <w:pPr>
      <w:jc w:val="left"/>
    </w:pPr>
  </w:style>
  <w:style w:type="paragraph" w:styleId="5">
    <w:name w:val="Body Text"/>
    <w:basedOn w:val="1"/>
    <w:next w:val="1"/>
    <w:qFormat/>
    <w:uiPriority w:val="99"/>
  </w:style>
  <w:style w:type="paragraph" w:styleId="6">
    <w:name w:val="Body Text Indent"/>
    <w:basedOn w:val="1"/>
    <w:qFormat/>
    <w:uiPriority w:val="0"/>
    <w:pPr>
      <w:ind w:left="420" w:leftChars="200"/>
    </w:pPr>
  </w:style>
  <w:style w:type="paragraph" w:styleId="7">
    <w:name w:val="Date"/>
    <w:basedOn w:val="1"/>
    <w:next w:val="1"/>
    <w:link w:val="23"/>
    <w:semiHidden/>
    <w:unhideWhenUsed/>
    <w:qFormat/>
    <w:uiPriority w:val="99"/>
    <w:pPr>
      <w:ind w:left="100" w:leftChars="2500"/>
    </w:pPr>
  </w:style>
  <w:style w:type="paragraph" w:styleId="8">
    <w:name w:val="Balloon Text"/>
    <w:basedOn w:val="1"/>
    <w:link w:val="31"/>
    <w:unhideWhenUsed/>
    <w:qFormat/>
    <w:uiPriority w:val="99"/>
    <w:rPr>
      <w:rFonts w:ascii="Times New Roman" w:hAnsi="Times New Roman" w:eastAsia="宋体" w:cs="Times New Roman"/>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4"/>
    <w:next w:val="4"/>
    <w:link w:val="32"/>
    <w:unhideWhenUsed/>
    <w:qFormat/>
    <w:uiPriority w:val="99"/>
    <w:rPr>
      <w:rFonts w:ascii="Times New Roman" w:hAnsi="Times New Roman" w:eastAsia="宋体" w:cs="Times New Roman"/>
      <w:b/>
      <w:bCs/>
      <w:szCs w:val="20"/>
    </w:rPr>
  </w:style>
  <w:style w:type="paragraph" w:styleId="14">
    <w:name w:val="Body Text First Indent 2"/>
    <w:basedOn w:val="6"/>
    <w:next w:val="1"/>
    <w:qFormat/>
    <w:uiPriority w:val="0"/>
    <w:pPr>
      <w:ind w:firstLine="420" w:firstLineChars="200"/>
    </w:pPr>
    <w:rPr>
      <w:rFonts w:ascii="Calibri" w:hAnsi="Calibri"/>
    </w:rPr>
  </w:style>
  <w:style w:type="character" w:styleId="17">
    <w:name w:val="Strong"/>
    <w:basedOn w:val="16"/>
    <w:qFormat/>
    <w:uiPriority w:val="22"/>
    <w:rPr>
      <w:b/>
      <w:bCs/>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qFormat/>
    <w:uiPriority w:val="99"/>
    <w:rPr>
      <w:sz w:val="21"/>
      <w:szCs w:val="21"/>
    </w:rPr>
  </w:style>
  <w:style w:type="paragraph" w:customStyle="1" w:styleId="20">
    <w:name w:val="TOC2"/>
    <w:basedOn w:val="1"/>
    <w:next w:val="1"/>
    <w:qFormat/>
    <w:uiPriority w:val="0"/>
    <w:pPr>
      <w:ind w:left="420" w:leftChars="200"/>
      <w:textAlignment w:val="baseline"/>
    </w:pPr>
  </w:style>
  <w:style w:type="character" w:customStyle="1" w:styleId="21">
    <w:name w:val="页眉 字符"/>
    <w:basedOn w:val="16"/>
    <w:link w:val="10"/>
    <w:qFormat/>
    <w:uiPriority w:val="99"/>
    <w:rPr>
      <w:sz w:val="18"/>
      <w:szCs w:val="18"/>
    </w:rPr>
  </w:style>
  <w:style w:type="character" w:customStyle="1" w:styleId="22">
    <w:name w:val="页脚 字符"/>
    <w:basedOn w:val="16"/>
    <w:link w:val="9"/>
    <w:qFormat/>
    <w:uiPriority w:val="99"/>
    <w:rPr>
      <w:sz w:val="18"/>
      <w:szCs w:val="18"/>
    </w:rPr>
  </w:style>
  <w:style w:type="character" w:customStyle="1" w:styleId="23">
    <w:name w:val="日期 字符"/>
    <w:basedOn w:val="16"/>
    <w:link w:val="7"/>
    <w:semiHidden/>
    <w:qFormat/>
    <w:uiPriority w:val="99"/>
  </w:style>
  <w:style w:type="character" w:customStyle="1" w:styleId="24">
    <w:name w:val="批注文字 Char"/>
    <w:basedOn w:val="16"/>
    <w:semiHidden/>
    <w:qFormat/>
    <w:uiPriority w:val="99"/>
  </w:style>
  <w:style w:type="character" w:customStyle="1" w:styleId="25">
    <w:name w:val="批注文字 字符"/>
    <w:basedOn w:val="16"/>
    <w:link w:val="4"/>
    <w:qFormat/>
    <w:uiPriority w:val="0"/>
  </w:style>
  <w:style w:type="character" w:customStyle="1" w:styleId="26">
    <w:name w:val="页眉 Char1"/>
    <w:basedOn w:val="16"/>
    <w:qFormat/>
    <w:uiPriority w:val="0"/>
    <w:rPr>
      <w:rFonts w:eastAsia="宋体"/>
      <w:sz w:val="18"/>
    </w:rPr>
  </w:style>
  <w:style w:type="paragraph" w:customStyle="1" w:styleId="27">
    <w:name w:val="USE 1"/>
    <w:basedOn w:val="1"/>
    <w:qFormat/>
    <w:uiPriority w:val="0"/>
    <w:pPr>
      <w:spacing w:line="200" w:lineRule="atLeast"/>
      <w:jc w:val="left"/>
    </w:pPr>
    <w:rPr>
      <w:rFonts w:ascii="宋体" w:hAnsi="宋体" w:eastAsia="宋体" w:cs="Times New Roman"/>
      <w:b/>
      <w:sz w:val="24"/>
      <w:szCs w:val="28"/>
    </w:rPr>
  </w:style>
  <w:style w:type="paragraph" w:customStyle="1" w:styleId="28">
    <w:name w:val="列出段落1"/>
    <w:basedOn w:val="1"/>
    <w:unhideWhenUsed/>
    <w:qFormat/>
    <w:uiPriority w:val="34"/>
    <w:pPr>
      <w:ind w:firstLine="420" w:firstLineChars="200"/>
    </w:pPr>
    <w:rPr>
      <w:rFonts w:ascii="Times New Roman" w:hAnsi="Times New Roman" w:eastAsia="宋体" w:cs="Times New Roman"/>
      <w:szCs w:val="24"/>
    </w:rPr>
  </w:style>
  <w:style w:type="paragraph" w:customStyle="1" w:styleId="29">
    <w:name w:val="列出段落2"/>
    <w:basedOn w:val="1"/>
    <w:qFormat/>
    <w:uiPriority w:val="34"/>
    <w:pPr>
      <w:ind w:firstLine="420" w:firstLineChars="200"/>
    </w:pPr>
    <w:rPr>
      <w:rFonts w:ascii="Times New Roman" w:hAnsi="Times New Roman" w:eastAsia="宋体" w:cs="Times New Roman"/>
      <w:szCs w:val="20"/>
    </w:rPr>
  </w:style>
  <w:style w:type="paragraph" w:styleId="30">
    <w:name w:val="List Paragraph"/>
    <w:basedOn w:val="1"/>
    <w:unhideWhenUsed/>
    <w:qFormat/>
    <w:uiPriority w:val="99"/>
    <w:pPr>
      <w:ind w:firstLine="420" w:firstLineChars="200"/>
    </w:pPr>
    <w:rPr>
      <w:rFonts w:ascii="Times New Roman" w:hAnsi="Times New Roman" w:eastAsia="宋体" w:cs="Times New Roman"/>
      <w:szCs w:val="20"/>
    </w:rPr>
  </w:style>
  <w:style w:type="character" w:customStyle="1" w:styleId="31">
    <w:name w:val="批注框文本 字符"/>
    <w:basedOn w:val="16"/>
    <w:link w:val="8"/>
    <w:qFormat/>
    <w:uiPriority w:val="99"/>
    <w:rPr>
      <w:rFonts w:ascii="Times New Roman" w:hAnsi="Times New Roman" w:eastAsia="宋体" w:cs="Times New Roman"/>
      <w:sz w:val="18"/>
      <w:szCs w:val="18"/>
    </w:rPr>
  </w:style>
  <w:style w:type="character" w:customStyle="1" w:styleId="32">
    <w:name w:val="批注主题 字符"/>
    <w:basedOn w:val="24"/>
    <w:link w:val="13"/>
    <w:qFormat/>
    <w:uiPriority w:val="99"/>
    <w:rPr>
      <w:rFonts w:ascii="Times New Roman" w:hAnsi="Times New Roman" w:eastAsia="宋体" w:cs="Times New Roman"/>
      <w:b/>
      <w:bCs/>
      <w:szCs w:val="20"/>
    </w:rPr>
  </w:style>
  <w:style w:type="character" w:customStyle="1" w:styleId="33">
    <w:name w:val="正文缩进 字符"/>
    <w:link w:val="3"/>
    <w:qFormat/>
    <w:uiPriority w:val="0"/>
    <w:rPr>
      <w:rFonts w:ascii="Times New Roman" w:hAnsi="Times New Roman" w:eastAsia="宋体" w:cs="Times New Roman"/>
      <w:szCs w:val="20"/>
    </w:rPr>
  </w:style>
  <w:style w:type="character" w:customStyle="1" w:styleId="34">
    <w:name w:val="标题 2 字符"/>
    <w:basedOn w:val="16"/>
    <w:link w:val="2"/>
    <w:qFormat/>
    <w:uiPriority w:val="9"/>
    <w:rPr>
      <w:rFonts w:ascii="宋体" w:hAnsi="宋体" w:eastAsia="宋体" w:cs="宋体"/>
      <w:b/>
      <w:bCs/>
      <w:kern w:val="0"/>
      <w:sz w:val="36"/>
      <w:szCs w:val="36"/>
    </w:rPr>
  </w:style>
  <w:style w:type="paragraph" w:customStyle="1" w:styleId="3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6">
    <w:name w:val="mini-outputtext1"/>
    <w:basedOn w:val="16"/>
    <w:qFormat/>
    <w:uiPriority w:val="0"/>
  </w:style>
  <w:style w:type="paragraph" w:customStyle="1" w:styleId="37">
    <w:name w:val="封面标题"/>
    <w:basedOn w:val="1"/>
    <w:qFormat/>
    <w:uiPriority w:val="0"/>
    <w:pPr>
      <w:adjustRightInd w:val="0"/>
      <w:snapToGrid w:val="0"/>
      <w:jc w:val="center"/>
    </w:pPr>
    <w:rPr>
      <w:rFonts w:ascii="等线" w:hAnsi="等线" w:eastAsia="楷体"/>
      <w:sz w:val="72"/>
    </w:rPr>
  </w:style>
  <w:style w:type="paragraph" w:customStyle="1" w:styleId="38">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5483</Words>
  <Characters>5623</Characters>
  <Lines>34</Lines>
  <Paragraphs>9</Paragraphs>
  <TotalTime>0</TotalTime>
  <ScaleCrop>false</ScaleCrop>
  <LinksUpToDate>false</LinksUpToDate>
  <CharactersWithSpaces>5625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2023-03-16T11:44:00Z</dcterms:created>
  <dc:creator>王美明</dc:creator>
  <cp:lastModifiedBy>kylin</cp:lastModifiedBy>
  <cp:lastPrinted>2023-03-12T01:00:00Z</cp:lastPrinted>
  <dcterms:modified xsi:type="dcterms:W3CDTF">2023-03-22T15:32:45Z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6A9973300F104FB6B852F7B05C710F5F</vt:lpwstr>
  </property>
</Properties>
</file>