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color w:val="auto"/>
          <w:sz w:val="32"/>
          <w:szCs w:val="32"/>
          <w:highlight w:val="none"/>
        </w:rPr>
      </w:pPr>
      <w:bookmarkStart w:id="1" w:name="_GoBack"/>
      <w:bookmarkEnd w:id="1"/>
      <w:r>
        <w:rPr>
          <w:rFonts w:hint="eastAsia" w:ascii="华文中宋" w:hAnsi="华文中宋" w:eastAsia="华文中宋"/>
          <w:color w:val="auto"/>
          <w:sz w:val="32"/>
          <w:szCs w:val="32"/>
          <w:lang w:eastAsia="zh-CN"/>
        </w:rPr>
        <w:t>深圳市人事人才公共服务中心专项资</w:t>
      </w:r>
      <w:r>
        <w:rPr>
          <w:rFonts w:hint="eastAsia" w:ascii="华文中宋" w:hAnsi="华文中宋" w:eastAsia="华文中宋"/>
          <w:color w:val="auto"/>
          <w:sz w:val="32"/>
          <w:szCs w:val="32"/>
          <w:highlight w:val="none"/>
          <w:lang w:eastAsia="zh-CN"/>
        </w:rPr>
        <w:t>金第三方审计监督服务项目</w:t>
      </w:r>
      <w:r>
        <w:rPr>
          <w:rFonts w:hint="eastAsia" w:ascii="华文中宋" w:hAnsi="华文中宋" w:eastAsia="华文中宋"/>
          <w:color w:val="auto"/>
          <w:sz w:val="32"/>
          <w:szCs w:val="32"/>
          <w:highlight w:val="none"/>
        </w:rPr>
        <w:t>中标（成交）结果公示</w:t>
      </w:r>
    </w:p>
    <w:p>
      <w:pPr>
        <w:ind w:left="42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一、项目编号：</w:t>
      </w:r>
      <w:r>
        <w:rPr>
          <w:rFonts w:hint="eastAsia" w:ascii="仿宋" w:hAnsi="仿宋" w:eastAsia="仿宋"/>
          <w:color w:val="auto"/>
          <w:sz w:val="28"/>
          <w:szCs w:val="28"/>
          <w:highlight w:val="none"/>
          <w:lang w:eastAsia="zh-CN"/>
        </w:rPr>
        <w:t>CLF0123SZ05QY50</w:t>
      </w:r>
    </w:p>
    <w:p>
      <w:pPr>
        <w:ind w:left="420"/>
        <w:rPr>
          <w:rFonts w:hint="eastAsia" w:ascii="仿宋" w:hAnsi="仿宋" w:eastAsia="仿宋"/>
          <w:color w:val="auto"/>
          <w:sz w:val="28"/>
          <w:szCs w:val="28"/>
          <w:highlight w:val="none"/>
          <w:u w:val="single"/>
          <w:lang w:eastAsia="zh-CN"/>
        </w:rPr>
      </w:pPr>
      <w:r>
        <w:rPr>
          <w:rFonts w:hint="eastAsia" w:ascii="仿宋" w:hAnsi="仿宋" w:eastAsia="仿宋"/>
          <w:color w:val="auto"/>
          <w:sz w:val="28"/>
          <w:szCs w:val="28"/>
          <w:highlight w:val="none"/>
        </w:rPr>
        <w:t>二、项目名称：</w:t>
      </w:r>
      <w:r>
        <w:rPr>
          <w:rFonts w:hint="eastAsia" w:ascii="仿宋" w:hAnsi="仿宋" w:eastAsia="仿宋"/>
          <w:color w:val="auto"/>
          <w:sz w:val="28"/>
          <w:szCs w:val="28"/>
          <w:highlight w:val="none"/>
          <w:lang w:eastAsia="zh-CN"/>
        </w:rPr>
        <w:t>深圳市人事人才公共服务中心专项资金第三方审计监督服务项目</w:t>
      </w:r>
    </w:p>
    <w:p>
      <w:pPr>
        <w:ind w:left="420"/>
        <w:rPr>
          <w:rFonts w:ascii="仿宋" w:hAnsi="仿宋" w:eastAsia="仿宋"/>
          <w:color w:val="auto"/>
          <w:sz w:val="28"/>
          <w:szCs w:val="28"/>
          <w:highlight w:val="none"/>
        </w:rPr>
      </w:pPr>
      <w:r>
        <w:rPr>
          <w:rFonts w:hint="eastAsia" w:ascii="仿宋" w:hAnsi="仿宋" w:eastAsia="仿宋"/>
          <w:color w:val="auto"/>
          <w:sz w:val="28"/>
          <w:szCs w:val="28"/>
          <w:highlight w:val="none"/>
        </w:rPr>
        <w:t>三、投标供应商名称及报价：</w:t>
      </w:r>
    </w:p>
    <w:tbl>
      <w:tblPr>
        <w:tblStyle w:val="12"/>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6"/>
        <w:gridCol w:w="3053"/>
        <w:gridCol w:w="1702"/>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336" w:type="dxa"/>
            <w:vAlign w:val="center"/>
          </w:tcPr>
          <w:p>
            <w:pPr>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投标供应商名称</w:t>
            </w:r>
          </w:p>
        </w:tc>
        <w:tc>
          <w:tcPr>
            <w:tcW w:w="3053" w:type="dxa"/>
            <w:vAlign w:val="center"/>
          </w:tcPr>
          <w:p>
            <w:pPr>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投标报价</w:t>
            </w:r>
          </w:p>
          <w:p>
            <w:pPr>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（人民币 元）</w:t>
            </w:r>
          </w:p>
        </w:tc>
        <w:tc>
          <w:tcPr>
            <w:tcW w:w="1702" w:type="dxa"/>
            <w:vAlign w:val="center"/>
          </w:tcPr>
          <w:p>
            <w:pPr>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资格性审查结果</w:t>
            </w:r>
          </w:p>
        </w:tc>
        <w:tc>
          <w:tcPr>
            <w:tcW w:w="1469" w:type="dxa"/>
            <w:vAlign w:val="center"/>
          </w:tcPr>
          <w:p>
            <w:pPr>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符合性审查结果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336" w:type="dxa"/>
            <w:vAlign w:val="center"/>
          </w:tcPr>
          <w:p>
            <w:pPr>
              <w:jc w:val="center"/>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深圳市宝永会计师事务所（特殊普通合伙）</w:t>
            </w:r>
          </w:p>
        </w:tc>
        <w:tc>
          <w:tcPr>
            <w:tcW w:w="3053" w:type="dxa"/>
            <w:vAlign w:val="center"/>
          </w:tcPr>
          <w:p>
            <w:pPr>
              <w:jc w:val="center"/>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798,000.00</w:t>
            </w:r>
          </w:p>
        </w:tc>
        <w:tc>
          <w:tcPr>
            <w:tcW w:w="1702" w:type="dxa"/>
            <w:vAlign w:val="center"/>
          </w:tcPr>
          <w:p>
            <w:pPr>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通过</w:t>
            </w:r>
          </w:p>
        </w:tc>
        <w:tc>
          <w:tcPr>
            <w:tcW w:w="1469" w:type="dxa"/>
            <w:vAlign w:val="center"/>
          </w:tcPr>
          <w:p>
            <w:pPr>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3336" w:type="dxa"/>
            <w:vAlign w:val="center"/>
          </w:tcPr>
          <w:p>
            <w:pPr>
              <w:jc w:val="center"/>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深圳市永明会计师事务所有限责任公司</w:t>
            </w:r>
          </w:p>
        </w:tc>
        <w:tc>
          <w:tcPr>
            <w:tcW w:w="3053" w:type="dxa"/>
            <w:vAlign w:val="center"/>
          </w:tcPr>
          <w:p>
            <w:pPr>
              <w:jc w:val="center"/>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680,000.00</w:t>
            </w:r>
          </w:p>
        </w:tc>
        <w:tc>
          <w:tcPr>
            <w:tcW w:w="1702" w:type="dxa"/>
            <w:vAlign w:val="center"/>
          </w:tcPr>
          <w:p>
            <w:pPr>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通过</w:t>
            </w:r>
          </w:p>
        </w:tc>
        <w:tc>
          <w:tcPr>
            <w:tcW w:w="1469" w:type="dxa"/>
            <w:vAlign w:val="center"/>
          </w:tcPr>
          <w:p>
            <w:pPr>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336" w:type="dxa"/>
            <w:vAlign w:val="center"/>
          </w:tcPr>
          <w:p>
            <w:pPr>
              <w:jc w:val="center"/>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深圳德永会计师事务所（普通合伙）</w:t>
            </w:r>
          </w:p>
        </w:tc>
        <w:tc>
          <w:tcPr>
            <w:tcW w:w="3053" w:type="dxa"/>
            <w:vAlign w:val="center"/>
          </w:tcPr>
          <w:p>
            <w:pPr>
              <w:jc w:val="center"/>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838,000.00</w:t>
            </w:r>
          </w:p>
        </w:tc>
        <w:tc>
          <w:tcPr>
            <w:tcW w:w="1702" w:type="dxa"/>
            <w:vAlign w:val="center"/>
          </w:tcPr>
          <w:p>
            <w:pPr>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通过</w:t>
            </w:r>
          </w:p>
        </w:tc>
        <w:tc>
          <w:tcPr>
            <w:tcW w:w="1469" w:type="dxa"/>
            <w:vAlign w:val="center"/>
          </w:tcPr>
          <w:p>
            <w:pPr>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通过</w:t>
            </w:r>
          </w:p>
        </w:tc>
      </w:tr>
    </w:tbl>
    <w:p>
      <w:pPr>
        <w:ind w:left="42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四、候选中标供应商名单：深圳市永明会计师事务所有限责任公司</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深圳市宝永会计师事务所（特殊普通合伙）</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深圳德永会计师事务所（普通合伙）</w:t>
      </w:r>
      <w:r>
        <w:rPr>
          <w:rFonts w:hint="eastAsia" w:ascii="仿宋" w:hAnsi="仿宋" w:eastAsia="仿宋"/>
          <w:color w:val="auto"/>
          <w:sz w:val="28"/>
          <w:szCs w:val="28"/>
          <w:highlight w:val="none"/>
          <w:lang w:eastAsia="zh-CN"/>
        </w:rPr>
        <w:t>。</w:t>
      </w:r>
    </w:p>
    <w:p>
      <w:pPr>
        <w:ind w:left="420"/>
        <w:rPr>
          <w:rFonts w:ascii="仿宋" w:hAnsi="仿宋" w:eastAsia="仿宋"/>
          <w:color w:val="auto"/>
          <w:sz w:val="28"/>
          <w:szCs w:val="28"/>
          <w:highlight w:val="none"/>
        </w:rPr>
      </w:pPr>
      <w:r>
        <w:rPr>
          <w:rFonts w:hint="eastAsia" w:ascii="仿宋" w:hAnsi="仿宋" w:eastAsia="仿宋"/>
          <w:color w:val="auto"/>
          <w:sz w:val="28"/>
          <w:szCs w:val="28"/>
          <w:highlight w:val="none"/>
        </w:rPr>
        <w:t>五、中标（成交）信息</w:t>
      </w:r>
    </w:p>
    <w:p>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供应商名称：深圳市永明会计师事务所有限责任公司</w:t>
      </w:r>
    </w:p>
    <w:p>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供应商地址：深圳市罗湖区笋岗街道笋西社区笋岗东路3012号中民时代广场B25层2501-A</w:t>
      </w:r>
    </w:p>
    <w:p>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中标（成交）金额：人民币</w:t>
      </w:r>
      <w:r>
        <w:rPr>
          <w:rFonts w:hint="eastAsia" w:ascii="仿宋" w:hAnsi="仿宋" w:eastAsia="仿宋"/>
          <w:color w:val="auto"/>
          <w:sz w:val="28"/>
          <w:szCs w:val="28"/>
          <w:highlight w:val="none"/>
          <w:lang w:val="en-US" w:eastAsia="zh-CN"/>
        </w:rPr>
        <w:t>68</w:t>
      </w:r>
      <w:r>
        <w:rPr>
          <w:rFonts w:hint="eastAsia" w:ascii="仿宋" w:hAnsi="仿宋" w:eastAsia="仿宋"/>
          <w:color w:val="auto"/>
          <w:sz w:val="28"/>
          <w:szCs w:val="28"/>
          <w:highlight w:val="none"/>
        </w:rPr>
        <w:t>万元</w:t>
      </w:r>
    </w:p>
    <w:p>
      <w:pPr>
        <w:ind w:left="420"/>
        <w:rPr>
          <w:rFonts w:ascii="仿宋" w:hAnsi="仿宋" w:eastAsia="仿宋"/>
          <w:color w:val="auto"/>
          <w:sz w:val="28"/>
          <w:szCs w:val="28"/>
          <w:highlight w:val="none"/>
        </w:rPr>
      </w:pPr>
      <w:r>
        <w:rPr>
          <w:rFonts w:hint="eastAsia" w:ascii="仿宋" w:hAnsi="仿宋" w:eastAsia="仿宋"/>
          <w:color w:val="auto"/>
          <w:sz w:val="28"/>
          <w:szCs w:val="28"/>
          <w:highlight w:val="none"/>
        </w:rPr>
        <w:t>六、主要标的信息</w:t>
      </w:r>
    </w:p>
    <w:tbl>
      <w:tblPr>
        <w:tblStyle w:val="12"/>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2" w:type="dxa"/>
          </w:tcPr>
          <w:p>
            <w:pPr>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2" w:type="dxa"/>
          </w:tcPr>
          <w:p>
            <w:pP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名称：深圳市人事人才公共服务中心专项资金第三方审计监督服务</w:t>
            </w:r>
          </w:p>
          <w:p>
            <w:pPr>
              <w:rPr>
                <w:rFonts w:hint="default" w:ascii="仿宋" w:hAnsi="仿宋" w:eastAsia="仿宋"/>
                <w:color w:val="auto"/>
                <w:kern w:val="0"/>
                <w:sz w:val="28"/>
                <w:szCs w:val="28"/>
                <w:highlight w:val="none"/>
                <w:lang w:val="en-US" w:eastAsia="zh-CN"/>
              </w:rPr>
            </w:pPr>
            <w:r>
              <w:rPr>
                <w:rFonts w:hint="eastAsia" w:ascii="仿宋" w:hAnsi="仿宋" w:eastAsia="仿宋"/>
                <w:color w:val="auto"/>
                <w:kern w:val="0"/>
                <w:sz w:val="28"/>
                <w:szCs w:val="28"/>
                <w:highlight w:val="none"/>
              </w:rPr>
              <w:t>服务范围：</w:t>
            </w:r>
            <w:r>
              <w:rPr>
                <w:rFonts w:hint="eastAsia" w:ascii="仿宋" w:hAnsi="仿宋" w:eastAsia="仿宋"/>
                <w:color w:val="auto"/>
                <w:kern w:val="0"/>
                <w:sz w:val="28"/>
                <w:szCs w:val="28"/>
                <w:highlight w:val="none"/>
                <w:lang w:val="en-US" w:eastAsia="zh-CN"/>
              </w:rPr>
              <w:t>详见采购文件</w:t>
            </w:r>
          </w:p>
          <w:p>
            <w:pPr>
              <w:rPr>
                <w:rFonts w:ascii="仿宋" w:hAnsi="仿宋" w:eastAsia="仿宋"/>
                <w:color w:val="auto"/>
                <w:kern w:val="0"/>
                <w:sz w:val="28"/>
                <w:szCs w:val="28"/>
                <w:highlight w:val="none"/>
                <w:u w:val="single"/>
              </w:rPr>
            </w:pPr>
            <w:r>
              <w:rPr>
                <w:rFonts w:hint="eastAsia" w:ascii="仿宋" w:hAnsi="仿宋" w:eastAsia="仿宋"/>
                <w:color w:val="auto"/>
                <w:kern w:val="0"/>
                <w:sz w:val="28"/>
                <w:szCs w:val="28"/>
                <w:highlight w:val="none"/>
              </w:rPr>
              <w:t>服务要求：</w:t>
            </w:r>
            <w:r>
              <w:rPr>
                <w:rFonts w:hint="eastAsia" w:ascii="仿宋" w:hAnsi="仿宋" w:eastAsia="仿宋"/>
                <w:color w:val="auto"/>
                <w:kern w:val="0"/>
                <w:sz w:val="28"/>
                <w:szCs w:val="28"/>
                <w:highlight w:val="none"/>
                <w:lang w:val="en-US" w:eastAsia="zh-CN"/>
              </w:rPr>
              <w:t>详见采购文件</w:t>
            </w:r>
          </w:p>
          <w:p>
            <w:pPr>
              <w:rPr>
                <w:rFonts w:ascii="仿宋" w:hAnsi="仿宋" w:eastAsia="仿宋"/>
                <w:color w:val="auto"/>
                <w:kern w:val="0"/>
                <w:sz w:val="28"/>
                <w:szCs w:val="28"/>
                <w:highlight w:val="none"/>
                <w:u w:val="single"/>
              </w:rPr>
            </w:pPr>
            <w:r>
              <w:rPr>
                <w:rFonts w:hint="eastAsia" w:ascii="仿宋" w:hAnsi="仿宋" w:eastAsia="仿宋"/>
                <w:color w:val="auto"/>
                <w:kern w:val="0"/>
                <w:sz w:val="28"/>
                <w:szCs w:val="28"/>
                <w:highlight w:val="none"/>
              </w:rPr>
              <w:t>服务时间：</w:t>
            </w:r>
            <w:r>
              <w:rPr>
                <w:rFonts w:hint="eastAsia" w:ascii="仿宋" w:hAnsi="仿宋" w:eastAsia="仿宋"/>
                <w:color w:val="auto"/>
                <w:kern w:val="0"/>
                <w:sz w:val="28"/>
                <w:szCs w:val="28"/>
                <w:highlight w:val="none"/>
                <w:lang w:val="en-US" w:eastAsia="zh-CN"/>
              </w:rPr>
              <w:t>详见采购文件</w:t>
            </w:r>
          </w:p>
          <w:p>
            <w:pP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服务标准：</w:t>
            </w:r>
            <w:r>
              <w:rPr>
                <w:rFonts w:hint="eastAsia" w:ascii="仿宋" w:hAnsi="仿宋" w:eastAsia="仿宋"/>
                <w:color w:val="auto"/>
                <w:kern w:val="0"/>
                <w:sz w:val="28"/>
                <w:szCs w:val="28"/>
                <w:highlight w:val="none"/>
                <w:lang w:val="en-US" w:eastAsia="zh-CN"/>
              </w:rPr>
              <w:t>详见采购文件</w:t>
            </w:r>
          </w:p>
        </w:tc>
      </w:tr>
    </w:tbl>
    <w:p>
      <w:pPr>
        <w:ind w:left="420"/>
        <w:rPr>
          <w:rFonts w:ascii="仿宋" w:hAnsi="仿宋" w:eastAsia="仿宋"/>
          <w:color w:val="auto"/>
          <w:sz w:val="28"/>
          <w:szCs w:val="28"/>
          <w:highlight w:val="none"/>
        </w:rPr>
      </w:pPr>
      <w:r>
        <w:rPr>
          <w:rFonts w:hint="eastAsia" w:ascii="仿宋" w:hAnsi="仿宋" w:eastAsia="仿宋"/>
          <w:color w:val="auto"/>
          <w:sz w:val="28"/>
          <w:szCs w:val="28"/>
          <w:highlight w:val="none"/>
        </w:rPr>
        <w:t>七、评审委员会成员名单：张欣</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向葵、向怀坤、孙伟远、刘韬光</w:t>
      </w:r>
    </w:p>
    <w:p>
      <w:pPr>
        <w:ind w:left="420"/>
        <w:rPr>
          <w:rFonts w:ascii="仿宋" w:hAnsi="仿宋" w:eastAsia="仿宋"/>
          <w:color w:val="auto"/>
          <w:sz w:val="28"/>
          <w:szCs w:val="28"/>
          <w:highlight w:val="none"/>
        </w:rPr>
      </w:pPr>
      <w:r>
        <w:rPr>
          <w:rFonts w:hint="eastAsia" w:ascii="仿宋" w:hAnsi="仿宋" w:eastAsia="仿宋"/>
          <w:color w:val="auto"/>
          <w:sz w:val="28"/>
          <w:szCs w:val="28"/>
          <w:highlight w:val="none"/>
        </w:rPr>
        <w:t>八、代理服务收费标准及金额：按《深圳市财政委员会关于规范深圳市社会采购代理机构管理有关事项的补充通知》（深财购〔2018〕27号）代理费用参考标准规定的“服务类”计算</w:t>
      </w:r>
      <w:r>
        <w:rPr>
          <w:rFonts w:hint="eastAsia" w:ascii="仿宋" w:hAnsi="仿宋" w:eastAsia="仿宋"/>
          <w:color w:val="auto"/>
          <w:sz w:val="28"/>
          <w:szCs w:val="28"/>
          <w:highlight w:val="none"/>
          <w:lang w:eastAsia="zh-CN"/>
        </w:rPr>
        <w:t>向中标人收取</w:t>
      </w:r>
      <w:r>
        <w:rPr>
          <w:rFonts w:hint="eastAsia" w:ascii="仿宋" w:hAnsi="仿宋" w:eastAsia="仿宋" w:cs="宋体"/>
          <w:color w:val="auto"/>
          <w:kern w:val="0"/>
          <w:sz w:val="28"/>
          <w:szCs w:val="28"/>
          <w:highlight w:val="none"/>
        </w:rPr>
        <w:t>；人民币</w:t>
      </w:r>
      <w:r>
        <w:rPr>
          <w:rFonts w:hint="eastAsia" w:ascii="仿宋" w:hAnsi="仿宋" w:eastAsia="仿宋" w:cs="宋体"/>
          <w:color w:val="auto"/>
          <w:kern w:val="0"/>
          <w:sz w:val="28"/>
          <w:szCs w:val="28"/>
          <w:highlight w:val="none"/>
          <w:lang w:val="en-US" w:eastAsia="zh-CN"/>
        </w:rPr>
        <w:t>1.02</w:t>
      </w:r>
      <w:r>
        <w:rPr>
          <w:rFonts w:hint="eastAsia" w:ascii="仿宋" w:hAnsi="仿宋" w:eastAsia="仿宋" w:cs="宋体"/>
          <w:color w:val="auto"/>
          <w:kern w:val="0"/>
          <w:sz w:val="28"/>
          <w:szCs w:val="28"/>
          <w:highlight w:val="none"/>
        </w:rPr>
        <w:t>万元。</w:t>
      </w:r>
    </w:p>
    <w:p>
      <w:pPr>
        <w:ind w:left="420"/>
        <w:rPr>
          <w:rFonts w:ascii="仿宋" w:hAnsi="仿宋" w:eastAsia="仿宋"/>
          <w:color w:val="auto"/>
          <w:sz w:val="28"/>
          <w:szCs w:val="28"/>
          <w:highlight w:val="none"/>
        </w:rPr>
      </w:pPr>
      <w:r>
        <w:rPr>
          <w:rFonts w:hint="eastAsia" w:ascii="仿宋" w:hAnsi="仿宋" w:eastAsia="仿宋"/>
          <w:color w:val="auto"/>
          <w:sz w:val="28"/>
          <w:szCs w:val="28"/>
          <w:highlight w:val="none"/>
        </w:rPr>
        <w:t>九、公示期限</w:t>
      </w:r>
    </w:p>
    <w:p>
      <w:pPr>
        <w:ind w:firstLine="560" w:firstLineChars="200"/>
        <w:rPr>
          <w:rFonts w:ascii="仿宋" w:hAnsi="仿宋" w:eastAsia="仿宋" w:cs="宋体"/>
          <w:color w:val="auto"/>
          <w:kern w:val="0"/>
          <w:sz w:val="28"/>
          <w:szCs w:val="28"/>
          <w:highlight w:val="none"/>
        </w:rPr>
      </w:pPr>
      <w:r>
        <w:rPr>
          <w:rFonts w:hint="eastAsia" w:ascii="仿宋" w:hAnsi="仿宋" w:eastAsia="仿宋"/>
          <w:color w:val="auto"/>
          <w:sz w:val="28"/>
          <w:szCs w:val="28"/>
          <w:highlight w:val="none"/>
          <w:u w:val="none"/>
          <w:lang w:val="en-US" w:eastAsia="zh-CN"/>
        </w:rPr>
        <w:t>2023</w:t>
      </w:r>
      <w:r>
        <w:rPr>
          <w:rFonts w:hint="eastAsia" w:ascii="仿宋" w:hAnsi="仿宋" w:eastAsia="仿宋"/>
          <w:color w:val="auto"/>
          <w:sz w:val="28"/>
          <w:szCs w:val="28"/>
          <w:highlight w:val="none"/>
          <w:u w:val="none"/>
        </w:rPr>
        <w:t>年</w:t>
      </w:r>
      <w:r>
        <w:rPr>
          <w:rFonts w:hint="eastAsia" w:ascii="仿宋" w:hAnsi="仿宋" w:eastAsia="仿宋"/>
          <w:color w:val="auto"/>
          <w:sz w:val="28"/>
          <w:szCs w:val="28"/>
          <w:highlight w:val="none"/>
          <w:u w:val="none"/>
          <w:lang w:val="en-US" w:eastAsia="zh-CN"/>
        </w:rPr>
        <w:t>5</w:t>
      </w:r>
      <w:r>
        <w:rPr>
          <w:rFonts w:hint="eastAsia" w:ascii="仿宋" w:hAnsi="仿宋" w:eastAsia="仿宋"/>
          <w:color w:val="auto"/>
          <w:sz w:val="28"/>
          <w:szCs w:val="28"/>
          <w:highlight w:val="none"/>
          <w:u w:val="none"/>
        </w:rPr>
        <w:t>月</w:t>
      </w:r>
      <w:r>
        <w:rPr>
          <w:rFonts w:hint="eastAsia" w:ascii="仿宋" w:hAnsi="仿宋" w:eastAsia="仿宋"/>
          <w:color w:val="auto"/>
          <w:sz w:val="28"/>
          <w:szCs w:val="28"/>
          <w:highlight w:val="none"/>
          <w:u w:val="none"/>
          <w:lang w:val="en-US" w:eastAsia="zh-CN"/>
        </w:rPr>
        <w:t>6</w:t>
      </w:r>
      <w:r>
        <w:rPr>
          <w:rFonts w:hint="eastAsia" w:ascii="仿宋" w:hAnsi="仿宋" w:eastAsia="仿宋"/>
          <w:color w:val="auto"/>
          <w:sz w:val="28"/>
          <w:szCs w:val="28"/>
          <w:highlight w:val="none"/>
          <w:u w:val="none"/>
        </w:rPr>
        <w:t>日至</w:t>
      </w:r>
      <w:r>
        <w:rPr>
          <w:rFonts w:hint="eastAsia" w:ascii="仿宋" w:hAnsi="仿宋" w:eastAsia="仿宋"/>
          <w:color w:val="auto"/>
          <w:sz w:val="28"/>
          <w:szCs w:val="28"/>
          <w:highlight w:val="none"/>
          <w:u w:val="none"/>
          <w:lang w:val="en-US" w:eastAsia="zh-CN"/>
        </w:rPr>
        <w:t>2023</w:t>
      </w:r>
      <w:r>
        <w:rPr>
          <w:rFonts w:hint="eastAsia" w:ascii="仿宋" w:hAnsi="仿宋" w:eastAsia="仿宋"/>
          <w:color w:val="auto"/>
          <w:sz w:val="28"/>
          <w:szCs w:val="28"/>
          <w:highlight w:val="none"/>
          <w:u w:val="none"/>
        </w:rPr>
        <w:t>年</w:t>
      </w:r>
      <w:r>
        <w:rPr>
          <w:rFonts w:hint="eastAsia" w:ascii="仿宋" w:hAnsi="仿宋" w:eastAsia="仿宋"/>
          <w:color w:val="auto"/>
          <w:sz w:val="28"/>
          <w:szCs w:val="28"/>
          <w:highlight w:val="none"/>
          <w:u w:val="none"/>
          <w:lang w:val="en-US" w:eastAsia="zh-CN"/>
        </w:rPr>
        <w:t>5</w:t>
      </w:r>
      <w:r>
        <w:rPr>
          <w:rFonts w:hint="eastAsia" w:ascii="仿宋" w:hAnsi="仿宋" w:eastAsia="仿宋"/>
          <w:color w:val="auto"/>
          <w:sz w:val="28"/>
          <w:szCs w:val="28"/>
          <w:highlight w:val="none"/>
          <w:u w:val="none"/>
        </w:rPr>
        <w:t>月</w:t>
      </w:r>
      <w:r>
        <w:rPr>
          <w:rFonts w:hint="eastAsia" w:ascii="仿宋" w:hAnsi="仿宋" w:eastAsia="仿宋"/>
          <w:color w:val="auto"/>
          <w:sz w:val="28"/>
          <w:szCs w:val="28"/>
          <w:highlight w:val="none"/>
          <w:u w:val="none"/>
          <w:lang w:val="en-US" w:eastAsia="zh-CN"/>
        </w:rPr>
        <w:t>8</w:t>
      </w:r>
      <w:r>
        <w:rPr>
          <w:rFonts w:hint="eastAsia" w:ascii="仿宋" w:hAnsi="仿宋" w:eastAsia="仿宋"/>
          <w:color w:val="auto"/>
          <w:sz w:val="28"/>
          <w:szCs w:val="28"/>
          <w:highlight w:val="none"/>
          <w:u w:val="none"/>
        </w:rPr>
        <w:t>日</w:t>
      </w:r>
      <w:r>
        <w:rPr>
          <w:rFonts w:hint="eastAsia" w:ascii="仿宋" w:hAnsi="仿宋" w:eastAsia="仿宋"/>
          <w:color w:val="auto"/>
          <w:sz w:val="28"/>
          <w:szCs w:val="28"/>
          <w:highlight w:val="none"/>
          <w:u w:val="none"/>
          <w:lang w:val="en-US" w:eastAsia="zh-CN"/>
        </w:rPr>
        <w:t xml:space="preserve">  </w:t>
      </w:r>
    </w:p>
    <w:p>
      <w:pPr>
        <w:ind w:left="42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十、其他补充事宜</w:t>
      </w:r>
    </w:p>
    <w:p>
      <w:pPr>
        <w:ind w:firstLine="280" w:firstLineChars="1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（一）供应商质疑</w:t>
      </w:r>
    </w:p>
    <w:p>
      <w:pPr>
        <w:widowControl/>
        <w:ind w:firstLine="560" w:firstLineChars="200"/>
        <w:jc w:val="left"/>
        <w:rPr>
          <w:rFonts w:ascii="仿宋" w:hAnsi="仿宋" w:eastAsia="仿宋"/>
          <w:color w:val="auto"/>
          <w:kern w:val="0"/>
          <w:sz w:val="28"/>
          <w:szCs w:val="28"/>
          <w:highlight w:val="none"/>
        </w:rPr>
      </w:pPr>
      <w:r>
        <w:rPr>
          <w:rFonts w:ascii="仿宋" w:hAnsi="仿宋" w:eastAsia="仿宋"/>
          <w:color w:val="auto"/>
          <w:kern w:val="0"/>
          <w:sz w:val="28"/>
          <w:szCs w:val="28"/>
          <w:highlight w:val="none"/>
        </w:rPr>
        <w:t>供应商认为中标或者成交结果使自己的权益受到损害的</w:t>
      </w:r>
      <w:r>
        <w:rPr>
          <w:rFonts w:hint="eastAsia" w:ascii="仿宋" w:hAnsi="仿宋" w:eastAsia="仿宋"/>
          <w:color w:val="auto"/>
          <w:kern w:val="0"/>
          <w:sz w:val="28"/>
          <w:szCs w:val="28"/>
          <w:highlight w:val="none"/>
        </w:rPr>
        <w:t>，应当自本公告发布之日起七个工作日内</w:t>
      </w:r>
      <w:bookmarkStart w:id="0" w:name="_Hlk27380774"/>
      <w:r>
        <w:rPr>
          <w:rFonts w:hint="eastAsia" w:ascii="仿宋" w:hAnsi="仿宋" w:eastAsia="仿宋"/>
          <w:color w:val="auto"/>
          <w:kern w:val="0"/>
          <w:sz w:val="28"/>
          <w:szCs w:val="28"/>
          <w:highlight w:val="none"/>
        </w:rPr>
        <w:t>以书面形式向采联国际招标采购集团有限公司（或采购人）提出质疑，逾期将依法不予受理。</w:t>
      </w:r>
      <w:bookmarkEnd w:id="0"/>
    </w:p>
    <w:p>
      <w:pPr>
        <w:spacing w:line="360" w:lineRule="auto"/>
        <w:ind w:firstLine="280" w:firstLineChars="100"/>
        <w:rPr>
          <w:rFonts w:ascii="仿宋" w:hAnsi="仿宋" w:eastAsia="仿宋" w:cs="宋体"/>
          <w:color w:val="auto"/>
          <w:sz w:val="28"/>
          <w:szCs w:val="28"/>
          <w:highlight w:val="none"/>
        </w:rPr>
      </w:pPr>
      <w:r>
        <w:rPr>
          <w:rFonts w:hint="eastAsia" w:ascii="仿宋" w:hAnsi="仿宋" w:eastAsia="仿宋"/>
          <w:color w:val="auto"/>
          <w:kern w:val="0"/>
          <w:sz w:val="28"/>
          <w:szCs w:val="28"/>
          <w:highlight w:val="none"/>
        </w:rPr>
        <w:t>（二）</w:t>
      </w:r>
      <w:r>
        <w:rPr>
          <w:rFonts w:hint="eastAsia" w:ascii="仿宋" w:hAnsi="仿宋" w:eastAsia="仿宋" w:cs="宋体"/>
          <w:color w:val="auto"/>
          <w:sz w:val="28"/>
          <w:szCs w:val="28"/>
          <w:highlight w:val="none"/>
        </w:rPr>
        <w:t>本项目相关公告在以下媒体发布:</w:t>
      </w:r>
    </w:p>
    <w:p>
      <w:pPr>
        <w:widowControl/>
        <w:wordWrap w:val="0"/>
        <w:ind w:firstLine="560" w:firstLineChars="200"/>
        <w:jc w:val="left"/>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rPr>
        <w:t>1</w:t>
      </w:r>
      <w:r>
        <w:rPr>
          <w:rFonts w:hint="eastAsia" w:ascii="仿宋" w:hAnsi="仿宋" w:eastAsia="仿宋"/>
          <w:color w:val="auto"/>
          <w:kern w:val="0"/>
          <w:sz w:val="28"/>
          <w:szCs w:val="28"/>
          <w:highlight w:val="none"/>
          <w:lang w:val="en-US" w:eastAsia="zh-CN"/>
        </w:rPr>
        <w:t>.</w:t>
      </w:r>
      <w:r>
        <w:rPr>
          <w:rFonts w:hint="eastAsia" w:ascii="仿宋" w:hAnsi="仿宋" w:eastAsia="仿宋"/>
          <w:color w:val="auto"/>
          <w:kern w:val="0"/>
          <w:sz w:val="28"/>
          <w:szCs w:val="28"/>
          <w:highlight w:val="none"/>
        </w:rPr>
        <w:t>法定媒体：深圳公共资源交易中心网站（www.szzfcg.cn）。相关公告在法定媒体上公布之日即视为有效送达，不再另行通知。</w:t>
      </w:r>
    </w:p>
    <w:p>
      <w:pPr>
        <w:widowControl/>
        <w:wordWrap w:val="0"/>
        <w:ind w:firstLine="560" w:firstLineChars="20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2</w:t>
      </w:r>
      <w:r>
        <w:rPr>
          <w:rFonts w:hint="eastAsia" w:ascii="仿宋" w:hAnsi="仿宋" w:eastAsia="仿宋"/>
          <w:color w:val="auto"/>
          <w:kern w:val="0"/>
          <w:sz w:val="28"/>
          <w:szCs w:val="28"/>
          <w:highlight w:val="none"/>
          <w:lang w:val="en-US" w:eastAsia="zh-CN"/>
        </w:rPr>
        <w:t>.</w:t>
      </w:r>
      <w:r>
        <w:rPr>
          <w:rFonts w:hint="eastAsia" w:ascii="仿宋" w:hAnsi="仿宋" w:eastAsia="仿宋"/>
          <w:color w:val="auto"/>
          <w:kern w:val="0"/>
          <w:sz w:val="28"/>
          <w:szCs w:val="28"/>
          <w:highlight w:val="none"/>
        </w:rPr>
        <w:t>相关媒体：深圳市人力资源和社会保障局官网（http://hrss.sz.gov.cn/）、采购代理机构网站（www.chinapsp.cn）。</w:t>
      </w:r>
    </w:p>
    <w:p>
      <w:pPr>
        <w:ind w:left="42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十一、凡对本次公告内容提出询问，请按以下方式联系。</w:t>
      </w:r>
    </w:p>
    <w:p>
      <w:pPr>
        <w:adjustRightInd w:val="0"/>
        <w:snapToGrid w:val="0"/>
        <w:spacing w:line="360" w:lineRule="auto"/>
        <w:ind w:firstLine="840" w:firstLineChars="3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采购人：深圳市人事人才公共服务中心</w:t>
      </w:r>
    </w:p>
    <w:p>
      <w:pPr>
        <w:adjustRightInd w:val="0"/>
        <w:snapToGrid w:val="0"/>
        <w:spacing w:line="360" w:lineRule="auto"/>
        <w:ind w:firstLine="840" w:firstLineChars="3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地址：深圳市福田区深南大道8005号</w:t>
      </w:r>
    </w:p>
    <w:p>
      <w:pPr>
        <w:adjustRightInd w:val="0"/>
        <w:snapToGrid w:val="0"/>
        <w:spacing w:line="360" w:lineRule="auto"/>
        <w:ind w:firstLine="840" w:firstLineChars="3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采购代理机构：采联国际招标采购集团有限公司</w:t>
      </w:r>
    </w:p>
    <w:p>
      <w:pPr>
        <w:adjustRightInd w:val="0"/>
        <w:snapToGrid w:val="0"/>
        <w:spacing w:line="360" w:lineRule="auto"/>
        <w:ind w:firstLine="840" w:firstLineChars="3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地址：深圳市福田区竹子林中国经贸大厦10A、B</w:t>
      </w:r>
    </w:p>
    <w:p>
      <w:pPr>
        <w:adjustRightInd w:val="0"/>
        <w:snapToGrid w:val="0"/>
        <w:spacing w:line="360" w:lineRule="auto"/>
        <w:ind w:firstLine="840" w:firstLineChars="3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联系人：</w:t>
      </w:r>
      <w:r>
        <w:rPr>
          <w:rFonts w:hint="eastAsia" w:ascii="仿宋" w:hAnsi="仿宋" w:eastAsia="仿宋"/>
          <w:color w:val="auto"/>
          <w:sz w:val="28"/>
          <w:szCs w:val="28"/>
          <w:highlight w:val="none"/>
          <w:lang w:val="en-US" w:eastAsia="zh-CN"/>
        </w:rPr>
        <w:t>杨</w:t>
      </w:r>
      <w:r>
        <w:rPr>
          <w:rFonts w:hint="eastAsia" w:ascii="仿宋" w:hAnsi="仿宋" w:eastAsia="仿宋"/>
          <w:color w:val="auto"/>
          <w:sz w:val="28"/>
          <w:szCs w:val="28"/>
          <w:highlight w:val="none"/>
        </w:rPr>
        <w:t>先生</w:t>
      </w:r>
    </w:p>
    <w:p>
      <w:pPr>
        <w:adjustRightInd w:val="0"/>
        <w:snapToGrid w:val="0"/>
        <w:spacing w:line="360" w:lineRule="auto"/>
        <w:ind w:firstLine="840" w:firstLineChars="3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联系电话：0755-8837 7571转23</w:t>
      </w:r>
      <w:r>
        <w:rPr>
          <w:rFonts w:hint="eastAsia" w:ascii="仿宋" w:hAnsi="仿宋" w:eastAsia="仿宋"/>
          <w:color w:val="auto"/>
          <w:sz w:val="28"/>
          <w:szCs w:val="28"/>
          <w:highlight w:val="none"/>
          <w:lang w:val="en-US" w:eastAsia="zh-CN"/>
        </w:rPr>
        <w:t>40</w:t>
      </w:r>
    </w:p>
    <w:p>
      <w:pPr>
        <w:adjustRightInd w:val="0"/>
        <w:snapToGrid w:val="0"/>
        <w:spacing w:line="360" w:lineRule="auto"/>
        <w:ind w:firstLine="840" w:firstLineChars="300"/>
        <w:rPr>
          <w:rFonts w:ascii="仿宋" w:hAnsi="仿宋" w:eastAsia="仿宋"/>
          <w:color w:val="auto"/>
          <w:sz w:val="28"/>
          <w:szCs w:val="28"/>
          <w:highlight w:val="none"/>
        </w:rPr>
      </w:pPr>
      <w:r>
        <w:rPr>
          <w:rFonts w:hint="eastAsia" w:ascii="仿宋" w:hAnsi="仿宋" w:eastAsia="仿宋"/>
          <w:color w:val="auto"/>
          <w:sz w:val="28"/>
          <w:szCs w:val="28"/>
          <w:highlight w:val="none"/>
        </w:rPr>
        <w:t>邮箱：cailiansz@126.com</w:t>
      </w:r>
    </w:p>
    <w:p>
      <w:pPr>
        <w:widowControl/>
        <w:ind w:left="420"/>
        <w:jc w:val="left"/>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十二、附件（可在采购代理机构（www.chinapsp.cn）网站查看）</w:t>
      </w:r>
    </w:p>
    <w:p>
      <w:pPr>
        <w:ind w:left="56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（一）采购文件</w:t>
      </w:r>
    </w:p>
    <w:p>
      <w:pPr>
        <w:ind w:left="560"/>
        <w:rPr>
          <w:rFonts w:hint="eastAsia" w:ascii="仿宋" w:hAnsi="仿宋" w:eastAsia="仿宋"/>
          <w:b/>
          <w:color w:val="auto"/>
          <w:sz w:val="28"/>
          <w:szCs w:val="28"/>
          <w:highlight w:val="none"/>
          <w:u w:val="none"/>
        </w:rPr>
      </w:pPr>
      <w:r>
        <w:rPr>
          <w:rFonts w:hint="eastAsia"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lang w:eastAsia="zh-CN"/>
        </w:rPr>
        <w:t>二</w:t>
      </w:r>
      <w:r>
        <w:rPr>
          <w:rFonts w:hint="eastAsia" w:ascii="仿宋" w:hAnsi="仿宋" w:eastAsia="仿宋" w:cs="宋体"/>
          <w:color w:val="auto"/>
          <w:kern w:val="0"/>
          <w:sz w:val="28"/>
          <w:szCs w:val="28"/>
          <w:highlight w:val="none"/>
        </w:rPr>
        <w:t>）供应商诚信</w:t>
      </w:r>
    </w:p>
    <w:p>
      <w:pPr>
        <w:keepNext w:val="0"/>
        <w:keepLines w:val="0"/>
        <w:pageBreakBefore w:val="0"/>
        <w:widowControl w:val="0"/>
        <w:tabs>
          <w:tab w:val="right" w:pos="9180"/>
        </w:tabs>
        <w:kinsoku/>
        <w:wordWrap/>
        <w:overflowPunct/>
        <w:topLinePunct w:val="0"/>
        <w:autoSpaceDE/>
        <w:autoSpaceDN/>
        <w:bidi w:val="0"/>
        <w:adjustRightInd w:val="0"/>
        <w:snapToGrid w:val="0"/>
        <w:spacing w:before="625" w:beforeLines="200" w:line="360" w:lineRule="auto"/>
        <w:ind w:firstLine="437"/>
        <w:jc w:val="right"/>
        <w:textAlignment w:val="auto"/>
        <w:rPr>
          <w:rFonts w:ascii="仿宋" w:hAnsi="仿宋" w:eastAsia="仿宋"/>
          <w:b/>
          <w:color w:val="auto"/>
          <w:sz w:val="28"/>
          <w:szCs w:val="28"/>
          <w:highlight w:val="none"/>
          <w:u w:val="none"/>
        </w:rPr>
      </w:pPr>
      <w:r>
        <w:rPr>
          <w:rFonts w:hint="eastAsia" w:ascii="仿宋" w:hAnsi="仿宋" w:eastAsia="仿宋"/>
          <w:b/>
          <w:color w:val="auto"/>
          <w:sz w:val="28"/>
          <w:szCs w:val="28"/>
          <w:highlight w:val="none"/>
          <w:u w:val="none"/>
        </w:rPr>
        <w:t>采联国际招标采购集团有限公司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37"/>
        <w:jc w:val="right"/>
        <w:textAlignment w:val="auto"/>
        <w:rPr>
          <w:rFonts w:ascii="仿宋" w:hAnsi="仿宋" w:eastAsia="仿宋"/>
          <w:b/>
          <w:color w:val="auto"/>
          <w:sz w:val="28"/>
          <w:szCs w:val="28"/>
          <w:highlight w:val="none"/>
          <w:u w:val="none"/>
        </w:rPr>
      </w:pPr>
      <w:r>
        <w:rPr>
          <w:rFonts w:hint="eastAsia" w:ascii="仿宋" w:hAnsi="仿宋" w:eastAsia="仿宋"/>
          <w:b/>
          <w:color w:val="auto"/>
          <w:sz w:val="28"/>
          <w:szCs w:val="28"/>
          <w:highlight w:val="none"/>
          <w:u w:val="none"/>
          <w:lang w:val="en-US" w:eastAsia="zh-CN"/>
        </w:rPr>
        <w:t>2023</w:t>
      </w:r>
      <w:r>
        <w:rPr>
          <w:rFonts w:hint="eastAsia" w:ascii="仿宋" w:hAnsi="仿宋" w:eastAsia="仿宋"/>
          <w:b/>
          <w:color w:val="auto"/>
          <w:sz w:val="28"/>
          <w:szCs w:val="28"/>
          <w:highlight w:val="none"/>
          <w:u w:val="none"/>
        </w:rPr>
        <w:t>年</w:t>
      </w:r>
      <w:r>
        <w:rPr>
          <w:rFonts w:hint="eastAsia" w:ascii="仿宋" w:hAnsi="仿宋" w:eastAsia="仿宋"/>
          <w:b/>
          <w:color w:val="auto"/>
          <w:sz w:val="28"/>
          <w:szCs w:val="28"/>
          <w:highlight w:val="none"/>
          <w:u w:val="none"/>
          <w:lang w:val="en-US" w:eastAsia="zh-CN"/>
        </w:rPr>
        <w:t>5</w:t>
      </w:r>
      <w:r>
        <w:rPr>
          <w:rFonts w:hint="eastAsia" w:ascii="仿宋" w:hAnsi="仿宋" w:eastAsia="仿宋"/>
          <w:b/>
          <w:color w:val="auto"/>
          <w:sz w:val="28"/>
          <w:szCs w:val="28"/>
          <w:highlight w:val="none"/>
          <w:u w:val="none"/>
        </w:rPr>
        <w:t>月</w:t>
      </w:r>
      <w:r>
        <w:rPr>
          <w:rFonts w:hint="eastAsia" w:ascii="仿宋" w:hAnsi="仿宋" w:eastAsia="仿宋"/>
          <w:b/>
          <w:color w:val="auto"/>
          <w:sz w:val="28"/>
          <w:szCs w:val="28"/>
          <w:highlight w:val="none"/>
          <w:u w:val="none"/>
          <w:lang w:val="en-US" w:eastAsia="zh-CN"/>
        </w:rPr>
        <w:t>5</w:t>
      </w:r>
      <w:r>
        <w:rPr>
          <w:rFonts w:hint="eastAsia" w:ascii="仿宋" w:hAnsi="仿宋" w:eastAsia="仿宋"/>
          <w:b/>
          <w:color w:val="auto"/>
          <w:sz w:val="28"/>
          <w:szCs w:val="28"/>
          <w:highlight w:val="none"/>
          <w:u w:val="none"/>
        </w:rPr>
        <w:t>日</w:t>
      </w:r>
    </w:p>
    <w:p>
      <w:pPr>
        <w:widowControl/>
        <w:spacing w:before="100" w:beforeAutospacing="1" w:after="100" w:afterAutospacing="1"/>
        <w:jc w:val="center"/>
        <w:rPr>
          <w:rFonts w:ascii="仿宋" w:hAnsi="仿宋" w:eastAsia="仿宋" w:cstheme="minorBidi"/>
          <w:sz w:val="28"/>
          <w:szCs w:val="28"/>
        </w:rPr>
      </w:pPr>
    </w:p>
    <w:sectPr>
      <w:pgSz w:w="11906" w:h="16838"/>
      <w:pgMar w:top="1440" w:right="1134"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false"/>
  <w:bordersDoNotSurroundFooter w:val="false"/>
  <w:documentProtection w:enforcement="0"/>
  <w:defaultTabStop w:val="5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1OTJjMWJmNWQxYjg5MDllODk4MDNjOGYzNmJhNGIifQ=="/>
  </w:docVars>
  <w:rsids>
    <w:rsidRoot w:val="00430B55"/>
    <w:rsid w:val="00004E37"/>
    <w:rsid w:val="0000797F"/>
    <w:rsid w:val="00037406"/>
    <w:rsid w:val="00040F29"/>
    <w:rsid w:val="00045F11"/>
    <w:rsid w:val="000670C8"/>
    <w:rsid w:val="000801F4"/>
    <w:rsid w:val="000815E8"/>
    <w:rsid w:val="00093379"/>
    <w:rsid w:val="000A5B41"/>
    <w:rsid w:val="000D7D7C"/>
    <w:rsid w:val="000F3591"/>
    <w:rsid w:val="00104A74"/>
    <w:rsid w:val="00115AC7"/>
    <w:rsid w:val="00127858"/>
    <w:rsid w:val="00155EC9"/>
    <w:rsid w:val="00174B43"/>
    <w:rsid w:val="001B2FD7"/>
    <w:rsid w:val="001E6BA1"/>
    <w:rsid w:val="00217419"/>
    <w:rsid w:val="00223B06"/>
    <w:rsid w:val="00235A41"/>
    <w:rsid w:val="00251E8D"/>
    <w:rsid w:val="002804FD"/>
    <w:rsid w:val="002D17E3"/>
    <w:rsid w:val="002E78E8"/>
    <w:rsid w:val="002F4CC6"/>
    <w:rsid w:val="002F7D23"/>
    <w:rsid w:val="003021D1"/>
    <w:rsid w:val="00322178"/>
    <w:rsid w:val="003226BB"/>
    <w:rsid w:val="00327A23"/>
    <w:rsid w:val="00334C25"/>
    <w:rsid w:val="0037269B"/>
    <w:rsid w:val="00381BF2"/>
    <w:rsid w:val="003A2ADF"/>
    <w:rsid w:val="003B043D"/>
    <w:rsid w:val="003D66D2"/>
    <w:rsid w:val="003D7060"/>
    <w:rsid w:val="003F61F4"/>
    <w:rsid w:val="00404D7D"/>
    <w:rsid w:val="00416B37"/>
    <w:rsid w:val="00430B55"/>
    <w:rsid w:val="00436061"/>
    <w:rsid w:val="00445B92"/>
    <w:rsid w:val="004662CB"/>
    <w:rsid w:val="00467B93"/>
    <w:rsid w:val="00473E97"/>
    <w:rsid w:val="004754B6"/>
    <w:rsid w:val="004808F2"/>
    <w:rsid w:val="004D455F"/>
    <w:rsid w:val="00573049"/>
    <w:rsid w:val="00576621"/>
    <w:rsid w:val="005B304B"/>
    <w:rsid w:val="005C093E"/>
    <w:rsid w:val="005C5AF3"/>
    <w:rsid w:val="005F5A82"/>
    <w:rsid w:val="005F6720"/>
    <w:rsid w:val="005F735A"/>
    <w:rsid w:val="006337AF"/>
    <w:rsid w:val="00634485"/>
    <w:rsid w:val="006442EB"/>
    <w:rsid w:val="00654071"/>
    <w:rsid w:val="00654BFD"/>
    <w:rsid w:val="00683C3D"/>
    <w:rsid w:val="006B6DB3"/>
    <w:rsid w:val="006C0C4A"/>
    <w:rsid w:val="006D3071"/>
    <w:rsid w:val="006D3201"/>
    <w:rsid w:val="0071272F"/>
    <w:rsid w:val="00733C15"/>
    <w:rsid w:val="00745917"/>
    <w:rsid w:val="00757832"/>
    <w:rsid w:val="00777A20"/>
    <w:rsid w:val="007C2591"/>
    <w:rsid w:val="008025F1"/>
    <w:rsid w:val="00837B6C"/>
    <w:rsid w:val="00842E72"/>
    <w:rsid w:val="008553CE"/>
    <w:rsid w:val="008930D8"/>
    <w:rsid w:val="008F3AE8"/>
    <w:rsid w:val="009127E4"/>
    <w:rsid w:val="0093263A"/>
    <w:rsid w:val="00955E7A"/>
    <w:rsid w:val="0098101D"/>
    <w:rsid w:val="009A63E2"/>
    <w:rsid w:val="009B0517"/>
    <w:rsid w:val="009B3B09"/>
    <w:rsid w:val="009E24D6"/>
    <w:rsid w:val="00A027FF"/>
    <w:rsid w:val="00A02956"/>
    <w:rsid w:val="00A04E2C"/>
    <w:rsid w:val="00A15294"/>
    <w:rsid w:val="00A21FD6"/>
    <w:rsid w:val="00A423F9"/>
    <w:rsid w:val="00A458D3"/>
    <w:rsid w:val="00A82758"/>
    <w:rsid w:val="00A93813"/>
    <w:rsid w:val="00AA046A"/>
    <w:rsid w:val="00AA31A9"/>
    <w:rsid w:val="00AB0337"/>
    <w:rsid w:val="00AB520B"/>
    <w:rsid w:val="00AC347D"/>
    <w:rsid w:val="00AE2241"/>
    <w:rsid w:val="00AF2D84"/>
    <w:rsid w:val="00B00116"/>
    <w:rsid w:val="00B028F3"/>
    <w:rsid w:val="00B22240"/>
    <w:rsid w:val="00B22843"/>
    <w:rsid w:val="00B517A2"/>
    <w:rsid w:val="00B56A3F"/>
    <w:rsid w:val="00B94844"/>
    <w:rsid w:val="00BC5F13"/>
    <w:rsid w:val="00C009CC"/>
    <w:rsid w:val="00C144C2"/>
    <w:rsid w:val="00C14C85"/>
    <w:rsid w:val="00C53726"/>
    <w:rsid w:val="00C662FF"/>
    <w:rsid w:val="00CA4173"/>
    <w:rsid w:val="00CB000E"/>
    <w:rsid w:val="00CB25C8"/>
    <w:rsid w:val="00CC20AC"/>
    <w:rsid w:val="00D34A19"/>
    <w:rsid w:val="00D502B8"/>
    <w:rsid w:val="00D5530F"/>
    <w:rsid w:val="00D6242C"/>
    <w:rsid w:val="00D65D02"/>
    <w:rsid w:val="00D67B1A"/>
    <w:rsid w:val="00DA63EC"/>
    <w:rsid w:val="00DC2E45"/>
    <w:rsid w:val="00DE0CCD"/>
    <w:rsid w:val="00DE7163"/>
    <w:rsid w:val="00DF0334"/>
    <w:rsid w:val="00E1277C"/>
    <w:rsid w:val="00E1422B"/>
    <w:rsid w:val="00E4044F"/>
    <w:rsid w:val="00E80096"/>
    <w:rsid w:val="00EA3824"/>
    <w:rsid w:val="00EC2C7B"/>
    <w:rsid w:val="00EC320F"/>
    <w:rsid w:val="00EF1E0B"/>
    <w:rsid w:val="00EF1F85"/>
    <w:rsid w:val="00F01ED0"/>
    <w:rsid w:val="00F148FE"/>
    <w:rsid w:val="00F830D2"/>
    <w:rsid w:val="00FA5075"/>
    <w:rsid w:val="00FA5FF8"/>
    <w:rsid w:val="00FE1D4A"/>
    <w:rsid w:val="00FE314F"/>
    <w:rsid w:val="00FE3960"/>
    <w:rsid w:val="0825606F"/>
    <w:rsid w:val="09D937EA"/>
    <w:rsid w:val="0E903B52"/>
    <w:rsid w:val="13095D43"/>
    <w:rsid w:val="137678B4"/>
    <w:rsid w:val="138275F0"/>
    <w:rsid w:val="15761F97"/>
    <w:rsid w:val="188C32F1"/>
    <w:rsid w:val="1CC76CA7"/>
    <w:rsid w:val="1FAD62E6"/>
    <w:rsid w:val="201358D5"/>
    <w:rsid w:val="260C212E"/>
    <w:rsid w:val="26E93C26"/>
    <w:rsid w:val="2A200B33"/>
    <w:rsid w:val="2C4F0432"/>
    <w:rsid w:val="30831630"/>
    <w:rsid w:val="32B36CE8"/>
    <w:rsid w:val="37DC40A9"/>
    <w:rsid w:val="37E8065D"/>
    <w:rsid w:val="3AB01663"/>
    <w:rsid w:val="3D015476"/>
    <w:rsid w:val="41AD1D1E"/>
    <w:rsid w:val="47143C3C"/>
    <w:rsid w:val="4A070036"/>
    <w:rsid w:val="4A4C56F9"/>
    <w:rsid w:val="501A79B1"/>
    <w:rsid w:val="50431E61"/>
    <w:rsid w:val="538A2E61"/>
    <w:rsid w:val="5CBC610A"/>
    <w:rsid w:val="5E9E093B"/>
    <w:rsid w:val="5F830454"/>
    <w:rsid w:val="5FD70719"/>
    <w:rsid w:val="62BC43B0"/>
    <w:rsid w:val="675A1129"/>
    <w:rsid w:val="6A466D71"/>
    <w:rsid w:val="6AA818C5"/>
    <w:rsid w:val="6B946708"/>
    <w:rsid w:val="72727742"/>
    <w:rsid w:val="74E0358A"/>
    <w:rsid w:val="76376A59"/>
    <w:rsid w:val="7A63170E"/>
    <w:rsid w:val="7ACD5F49"/>
    <w:rsid w:val="DE73E82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spacing w:val="10"/>
      <w:kern w:val="0"/>
      <w:sz w:val="24"/>
    </w:rPr>
  </w:style>
  <w:style w:type="paragraph" w:styleId="5">
    <w:name w:val="annotation text"/>
    <w:basedOn w:val="1"/>
    <w:link w:val="18"/>
    <w:unhideWhenUsed/>
    <w:qFormat/>
    <w:uiPriority w:val="0"/>
    <w:pPr>
      <w:jc w:val="left"/>
    </w:pPr>
  </w:style>
  <w:style w:type="paragraph" w:styleId="6">
    <w:name w:val="Plain Text"/>
    <w:basedOn w:val="1"/>
    <w:link w:val="17"/>
    <w:qFormat/>
    <w:uiPriority w:val="0"/>
    <w:rPr>
      <w:rFonts w:ascii="宋体" w:hAnsi="Courier New" w:eastAsiaTheme="minorEastAsia" w:cstheme="minorBidi"/>
      <w:szCs w:val="22"/>
    </w:rPr>
  </w:style>
  <w:style w:type="paragraph" w:styleId="7">
    <w:name w:val="Balloon Text"/>
    <w:basedOn w:val="1"/>
    <w:link w:val="19"/>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2"/>
    <w:semiHidden/>
    <w:unhideWhenUsed/>
    <w:qFormat/>
    <w:uiPriority w:val="99"/>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styleId="15">
    <w:name w:val="annotation reference"/>
    <w:basedOn w:val="13"/>
    <w:unhideWhenUsed/>
    <w:qFormat/>
    <w:uiPriority w:val="0"/>
    <w:rPr>
      <w:sz w:val="21"/>
      <w:szCs w:val="21"/>
    </w:rPr>
  </w:style>
  <w:style w:type="character" w:customStyle="1" w:styleId="16">
    <w:name w:val="标题 1 字符"/>
    <w:basedOn w:val="13"/>
    <w:link w:val="3"/>
    <w:qFormat/>
    <w:uiPriority w:val="9"/>
    <w:rPr>
      <w:rFonts w:ascii="Times New Roman" w:hAnsi="Times New Roman" w:eastAsia="宋体" w:cs="Times New Roman"/>
      <w:b/>
      <w:bCs/>
      <w:kern w:val="44"/>
      <w:sz w:val="44"/>
      <w:szCs w:val="44"/>
    </w:rPr>
  </w:style>
  <w:style w:type="character" w:customStyle="1" w:styleId="17">
    <w:name w:val="纯文本 字符"/>
    <w:basedOn w:val="13"/>
    <w:link w:val="6"/>
    <w:qFormat/>
    <w:uiPriority w:val="0"/>
    <w:rPr>
      <w:rFonts w:ascii="宋体" w:hAnsi="Courier New"/>
    </w:rPr>
  </w:style>
  <w:style w:type="character" w:customStyle="1" w:styleId="18">
    <w:name w:val="批注文字 字符"/>
    <w:basedOn w:val="13"/>
    <w:link w:val="5"/>
    <w:qFormat/>
    <w:uiPriority w:val="0"/>
    <w:rPr>
      <w:rFonts w:ascii="Times New Roman" w:hAnsi="Times New Roman" w:eastAsia="宋体" w:cs="Times New Roman"/>
      <w:szCs w:val="21"/>
    </w:rPr>
  </w:style>
  <w:style w:type="character" w:customStyle="1" w:styleId="19">
    <w:name w:val="批注框文本 字符"/>
    <w:basedOn w:val="13"/>
    <w:link w:val="7"/>
    <w:semiHidden/>
    <w:qFormat/>
    <w:uiPriority w:val="99"/>
    <w:rPr>
      <w:rFonts w:ascii="Times New Roman" w:hAnsi="Times New Roman" w:eastAsia="宋体" w:cs="Times New Roman"/>
      <w:sz w:val="18"/>
      <w:szCs w:val="18"/>
    </w:rPr>
  </w:style>
  <w:style w:type="character" w:customStyle="1" w:styleId="20">
    <w:name w:val="页眉 字符"/>
    <w:basedOn w:val="13"/>
    <w:link w:val="9"/>
    <w:qFormat/>
    <w:uiPriority w:val="99"/>
    <w:rPr>
      <w:rFonts w:ascii="Times New Roman" w:hAnsi="Times New Roman" w:eastAsia="宋体" w:cs="Times New Roman"/>
      <w:sz w:val="18"/>
      <w:szCs w:val="18"/>
    </w:rPr>
  </w:style>
  <w:style w:type="character" w:customStyle="1" w:styleId="21">
    <w:name w:val="页脚 字符"/>
    <w:basedOn w:val="13"/>
    <w:link w:val="8"/>
    <w:qFormat/>
    <w:uiPriority w:val="99"/>
    <w:rPr>
      <w:rFonts w:ascii="Times New Roman" w:hAnsi="Times New Roman" w:eastAsia="宋体" w:cs="Times New Roman"/>
      <w:sz w:val="18"/>
      <w:szCs w:val="18"/>
    </w:rPr>
  </w:style>
  <w:style w:type="character" w:customStyle="1" w:styleId="22">
    <w:name w:val="批注主题 字符"/>
    <w:basedOn w:val="18"/>
    <w:link w:val="10"/>
    <w:semiHidden/>
    <w:qFormat/>
    <w:uiPriority w:val="99"/>
    <w:rPr>
      <w:rFonts w:ascii="Times New Roman" w:hAnsi="Times New Roman" w:eastAsia="宋体" w:cs="Times New Roman"/>
      <w:b/>
      <w:bCs/>
      <w:szCs w:val="21"/>
    </w:rPr>
  </w:style>
  <w:style w:type="character" w:customStyle="1" w:styleId="23">
    <w:name w:val="未处理的提及1"/>
    <w:basedOn w:val="13"/>
    <w:semiHidden/>
    <w:unhideWhenUsed/>
    <w:qFormat/>
    <w:uiPriority w:val="99"/>
    <w:rPr>
      <w:color w:val="605E5C"/>
      <w:shd w:val="clear" w:color="auto" w:fill="E1DFDD"/>
    </w:rPr>
  </w:style>
  <w:style w:type="paragraph" w:styleId="24">
    <w:name w:val="List Paragraph"/>
    <w:basedOn w:val="1"/>
    <w:link w:val="25"/>
    <w:qFormat/>
    <w:uiPriority w:val="34"/>
    <w:pPr>
      <w:ind w:firstLine="420" w:firstLineChars="200"/>
    </w:pPr>
  </w:style>
  <w:style w:type="character" w:customStyle="1" w:styleId="25">
    <w:name w:val="列表段落 字符"/>
    <w:link w:val="24"/>
    <w:qFormat/>
    <w:uiPriority w:val="34"/>
    <w:rPr>
      <w:kern w:val="2"/>
      <w:sz w:val="21"/>
      <w:szCs w:val="21"/>
    </w:rPr>
  </w:style>
  <w:style w:type="character" w:customStyle="1" w:styleId="26">
    <w:name w:val="未处理的提及2"/>
    <w:basedOn w:val="13"/>
    <w:semiHidden/>
    <w:unhideWhenUsed/>
    <w:qFormat/>
    <w:uiPriority w:val="99"/>
    <w:rPr>
      <w:color w:val="605E5C"/>
      <w:shd w:val="clear" w:color="auto" w:fill="E1DFDD"/>
    </w:rPr>
  </w:style>
  <w:style w:type="paragraph" w:customStyle="1" w:styleId="27">
    <w:name w:val="样式4"/>
    <w:basedOn w:val="1"/>
    <w:qFormat/>
    <w:uiPriority w:val="0"/>
    <w:pPr>
      <w:tabs>
        <w:tab w:val="left" w:pos="2328"/>
      </w:tabs>
      <w:ind w:left="2328" w:hanging="708"/>
    </w:pPr>
  </w:style>
  <w:style w:type="paragraph" w:customStyle="1" w:styleId="28">
    <w:name w:val="列出段落11"/>
    <w:basedOn w:val="1"/>
    <w:qFormat/>
    <w:uiPriority w:val="99"/>
    <w:pPr>
      <w:ind w:firstLine="42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3</Pages>
  <Words>961</Words>
  <Characters>1127</Characters>
  <Lines>13</Lines>
  <Paragraphs>3</Paragraphs>
  <TotalTime>11</TotalTime>
  <ScaleCrop>false</ScaleCrop>
  <LinksUpToDate>false</LinksUpToDate>
  <CharactersWithSpaces>1131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2020-07-31T18:45:00Z</dcterms:created>
  <dc:creator>魏炫</dc:creator>
  <cp:lastModifiedBy>heyaoyi</cp:lastModifiedBy>
  <cp:lastPrinted>2023-05-04T18:23:00Z</cp:lastPrinted>
  <dcterms:modified xsi:type="dcterms:W3CDTF">2023-05-05T16:59:32Z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35B48894556E4C158175E5AD068EA81E</vt:lpwstr>
  </property>
</Properties>
</file>