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 w:val="left" w:pos="3165"/>
          <w:tab w:val="center" w:pos="4153"/>
        </w:tabs>
        <w:autoSpaceDE w:val="0"/>
        <w:autoSpaceDN w:val="0"/>
        <w:adjustRightInd w:val="0"/>
        <w:spacing w:before="0" w:after="0" w:line="360" w:lineRule="auto"/>
        <w:jc w:val="center"/>
        <w:rPr>
          <w:rFonts w:ascii="华文中宋" w:hAnsi="华文中宋" w:eastAsia="华文中宋"/>
          <w:color w:val="auto"/>
          <w:sz w:val="32"/>
          <w:szCs w:val="32"/>
          <w:highlight w:val="none"/>
        </w:rPr>
      </w:pPr>
      <w:r>
        <w:rPr>
          <w:rFonts w:hint="eastAsia" w:ascii="华文中宋" w:hAnsi="华文中宋" w:eastAsia="华文中宋"/>
          <w:color w:val="auto"/>
          <w:sz w:val="32"/>
          <w:szCs w:val="32"/>
          <w:highlight w:val="none"/>
          <w:lang w:eastAsia="zh-CN"/>
        </w:rPr>
        <w:t>深圳市人力资源和社会保障局深圳人才园停车场道闸系统采购项目</w:t>
      </w:r>
      <w:r>
        <w:rPr>
          <w:rFonts w:hint="eastAsia" w:ascii="华文中宋" w:hAnsi="华文中宋" w:eastAsia="华文中宋"/>
          <w:color w:val="auto"/>
          <w:sz w:val="32"/>
          <w:szCs w:val="32"/>
          <w:highlight w:val="none"/>
        </w:rPr>
        <w:t>中标（成交）结果公示</w:t>
      </w:r>
    </w:p>
    <w:p>
      <w:pPr>
        <w:ind w:left="42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一、项目编号：</w:t>
      </w:r>
      <w:r>
        <w:rPr>
          <w:rFonts w:hint="eastAsia" w:ascii="仿宋" w:hAnsi="仿宋" w:eastAsia="仿宋"/>
          <w:color w:val="auto"/>
          <w:sz w:val="28"/>
          <w:szCs w:val="28"/>
          <w:highlight w:val="none"/>
          <w:lang w:eastAsia="zh-CN"/>
        </w:rPr>
        <w:t>CLF0123SZ20QY11</w:t>
      </w:r>
    </w:p>
    <w:p>
      <w:pPr>
        <w:ind w:left="420"/>
        <w:rPr>
          <w:rFonts w:hint="eastAsia" w:ascii="仿宋" w:hAnsi="仿宋" w:eastAsia="仿宋"/>
          <w:color w:val="auto"/>
          <w:sz w:val="28"/>
          <w:szCs w:val="28"/>
          <w:highlight w:val="none"/>
          <w:u w:val="single"/>
          <w:lang w:eastAsia="zh-CN"/>
        </w:rPr>
      </w:pPr>
      <w:r>
        <w:rPr>
          <w:rFonts w:hint="eastAsia" w:ascii="仿宋" w:hAnsi="仿宋" w:eastAsia="仿宋"/>
          <w:color w:val="auto"/>
          <w:sz w:val="28"/>
          <w:szCs w:val="28"/>
          <w:highlight w:val="none"/>
        </w:rPr>
        <w:t>二、项目名称：</w:t>
      </w:r>
      <w:r>
        <w:rPr>
          <w:rFonts w:hint="eastAsia" w:ascii="仿宋" w:hAnsi="仿宋" w:eastAsia="仿宋"/>
          <w:color w:val="auto"/>
          <w:sz w:val="28"/>
          <w:szCs w:val="28"/>
          <w:highlight w:val="none"/>
          <w:lang w:eastAsia="zh-CN"/>
        </w:rPr>
        <w:t>深圳人才园停车场道闸系统采购项目</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三、投标供应商名称及报价：</w:t>
      </w:r>
    </w:p>
    <w:tbl>
      <w:tblPr>
        <w:tblStyle w:val="11"/>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4"/>
        <w:gridCol w:w="2182"/>
        <w:gridCol w:w="1702"/>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34" w:type="dxa"/>
            <w:vAlign w:val="center"/>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投标供应商名称</w:t>
            </w:r>
          </w:p>
        </w:tc>
        <w:tc>
          <w:tcPr>
            <w:tcW w:w="2182"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投标报价</w:t>
            </w:r>
          </w:p>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（人民币 元）</w:t>
            </w:r>
          </w:p>
        </w:tc>
        <w:tc>
          <w:tcPr>
            <w:tcW w:w="1702"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资格性审查结果</w:t>
            </w:r>
          </w:p>
        </w:tc>
        <w:tc>
          <w:tcPr>
            <w:tcW w:w="1469"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符合性审查结果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734"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深圳市深佳科技发展有限公司</w:t>
            </w:r>
          </w:p>
        </w:tc>
        <w:tc>
          <w:tcPr>
            <w:tcW w:w="2182"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745,219.00 </w:t>
            </w:r>
          </w:p>
        </w:tc>
        <w:tc>
          <w:tcPr>
            <w:tcW w:w="1702"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734"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深圳市领悦智能工程建设有限公司</w:t>
            </w:r>
          </w:p>
        </w:tc>
        <w:tc>
          <w:tcPr>
            <w:tcW w:w="2182"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303,157.71 </w:t>
            </w:r>
          </w:p>
        </w:tc>
        <w:tc>
          <w:tcPr>
            <w:tcW w:w="1702"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eastAsia="zh-CN"/>
              </w:rPr>
              <w:t>不</w:t>
            </w: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734"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深圳安立诺建设工程有限公司</w:t>
            </w:r>
          </w:p>
        </w:tc>
        <w:tc>
          <w:tcPr>
            <w:tcW w:w="2182"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747,241.07 </w:t>
            </w:r>
          </w:p>
        </w:tc>
        <w:tc>
          <w:tcPr>
            <w:tcW w:w="1702"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tcPr>
          <w:p>
            <w:pPr>
              <w:jc w:val="cente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734"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深圳达实智能股份有限公司</w:t>
            </w:r>
          </w:p>
        </w:tc>
        <w:tc>
          <w:tcPr>
            <w:tcW w:w="2182"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740,710.67 </w:t>
            </w:r>
          </w:p>
        </w:tc>
        <w:tc>
          <w:tcPr>
            <w:tcW w:w="1702"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734"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杭州立方控股股份有限公司</w:t>
            </w:r>
          </w:p>
        </w:tc>
        <w:tc>
          <w:tcPr>
            <w:tcW w:w="2182"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500,066.00 </w:t>
            </w:r>
          </w:p>
        </w:tc>
        <w:tc>
          <w:tcPr>
            <w:tcW w:w="1702"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734"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深圳市富士智能股份有限公司</w:t>
            </w:r>
          </w:p>
        </w:tc>
        <w:tc>
          <w:tcPr>
            <w:tcW w:w="2182"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298,000.00 </w:t>
            </w:r>
          </w:p>
        </w:tc>
        <w:tc>
          <w:tcPr>
            <w:tcW w:w="1702"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4734"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深圳市神州路路通网络科技有限公司</w:t>
            </w:r>
          </w:p>
        </w:tc>
        <w:tc>
          <w:tcPr>
            <w:tcW w:w="2182" w:type="dxa"/>
            <w:vAlign w:val="center"/>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lang w:val="en-US" w:eastAsia="zh-CN"/>
              </w:rPr>
              <w:t xml:space="preserve">401,962.00 </w:t>
            </w:r>
          </w:p>
        </w:tc>
        <w:tc>
          <w:tcPr>
            <w:tcW w:w="1702"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c>
          <w:tcPr>
            <w:tcW w:w="1469" w:type="dxa"/>
            <w:vAlign w:val="top"/>
          </w:tcPr>
          <w:p>
            <w:pPr>
              <w:jc w:val="center"/>
              <w:rPr>
                <w:rFonts w:hint="eastAsia" w:ascii="仿宋" w:hAnsi="仿宋" w:eastAsia="仿宋"/>
                <w:color w:val="auto"/>
                <w:kern w:val="0"/>
                <w:sz w:val="28"/>
                <w:szCs w:val="28"/>
                <w:highlight w:val="none"/>
              </w:rPr>
            </w:pPr>
            <w:r>
              <w:rPr>
                <w:rFonts w:hint="eastAsia" w:ascii="仿宋" w:hAnsi="仿宋" w:eastAsia="仿宋"/>
                <w:color w:val="auto"/>
                <w:kern w:val="0"/>
                <w:sz w:val="28"/>
                <w:szCs w:val="28"/>
                <w:highlight w:val="none"/>
              </w:rPr>
              <w:t>通过</w:t>
            </w:r>
          </w:p>
        </w:tc>
      </w:tr>
    </w:tbl>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四、候选中标供应商名单：深圳达实智能股份有限公司</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深圳市富士智能股份有限公司</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杭州立方控股股份有限公司</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五、中标（成交）信息</w:t>
      </w:r>
    </w:p>
    <w:p>
      <w:pPr>
        <w:ind w:left="0" w:leftChars="0" w:firstLine="439" w:firstLineChars="157"/>
        <w:rPr>
          <w:rFonts w:ascii="仿宋" w:hAnsi="仿宋" w:eastAsia="仿宋"/>
          <w:color w:val="auto"/>
          <w:sz w:val="28"/>
          <w:szCs w:val="28"/>
          <w:highlight w:val="none"/>
        </w:rPr>
      </w:pPr>
      <w:r>
        <w:rPr>
          <w:rFonts w:hint="eastAsia" w:ascii="仿宋" w:hAnsi="仿宋" w:eastAsia="仿宋"/>
          <w:color w:val="auto"/>
          <w:sz w:val="28"/>
          <w:szCs w:val="28"/>
          <w:highlight w:val="none"/>
        </w:rPr>
        <w:t>供应商名称：深圳达实智能股份有限公司</w:t>
      </w:r>
    </w:p>
    <w:p>
      <w:pPr>
        <w:ind w:left="0" w:leftChars="0" w:firstLine="439" w:firstLineChars="157"/>
        <w:rPr>
          <w:rFonts w:ascii="仿宋" w:hAnsi="仿宋" w:eastAsia="仿宋"/>
          <w:color w:val="auto"/>
          <w:sz w:val="28"/>
          <w:szCs w:val="28"/>
          <w:highlight w:val="none"/>
        </w:rPr>
      </w:pPr>
      <w:r>
        <w:rPr>
          <w:rFonts w:hint="eastAsia" w:ascii="仿宋" w:hAnsi="仿宋" w:eastAsia="仿宋"/>
          <w:color w:val="auto"/>
          <w:sz w:val="28"/>
          <w:szCs w:val="28"/>
          <w:highlight w:val="none"/>
        </w:rPr>
        <w:t>供应商地址：深圳市南山区高新技术村W1栋A座五楼</w:t>
      </w:r>
    </w:p>
    <w:p>
      <w:pPr>
        <w:ind w:left="0" w:leftChars="0" w:firstLine="439" w:firstLineChars="157"/>
        <w:rPr>
          <w:rFonts w:ascii="仿宋" w:hAnsi="仿宋" w:eastAsia="仿宋"/>
          <w:color w:val="auto"/>
          <w:sz w:val="28"/>
          <w:szCs w:val="28"/>
          <w:highlight w:val="none"/>
        </w:rPr>
      </w:pPr>
      <w:r>
        <w:rPr>
          <w:rFonts w:hint="eastAsia" w:ascii="仿宋" w:hAnsi="仿宋" w:eastAsia="仿宋"/>
          <w:color w:val="auto"/>
          <w:sz w:val="28"/>
          <w:szCs w:val="28"/>
          <w:highlight w:val="none"/>
        </w:rPr>
        <w:t>中标（成交）金额：人民币</w:t>
      </w:r>
      <w:r>
        <w:rPr>
          <w:rFonts w:hint="eastAsia" w:ascii="仿宋" w:hAnsi="仿宋" w:eastAsia="仿宋"/>
          <w:color w:val="auto"/>
          <w:sz w:val="28"/>
          <w:szCs w:val="28"/>
          <w:highlight w:val="none"/>
          <w:lang w:val="en-US" w:eastAsia="zh-CN"/>
        </w:rPr>
        <w:t>74.071067</w:t>
      </w:r>
      <w:r>
        <w:rPr>
          <w:rFonts w:hint="eastAsia" w:ascii="仿宋" w:hAnsi="仿宋" w:eastAsia="仿宋"/>
          <w:color w:val="auto"/>
          <w:sz w:val="28"/>
          <w:szCs w:val="28"/>
          <w:highlight w:val="none"/>
        </w:rPr>
        <w:t>万元</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六、主要标的信</w:t>
      </w:r>
      <w:bookmarkStart w:id="5" w:name="_GoBack"/>
      <w:bookmarkEnd w:id="5"/>
      <w:r>
        <w:rPr>
          <w:rFonts w:hint="eastAsia" w:ascii="仿宋" w:hAnsi="仿宋" w:eastAsia="仿宋"/>
          <w:color w:val="auto"/>
          <w:sz w:val="28"/>
          <w:szCs w:val="28"/>
          <w:highlight w:val="none"/>
        </w:rPr>
        <w:t>息</w:t>
      </w:r>
    </w:p>
    <w:tbl>
      <w:tblPr>
        <w:tblStyle w:val="11"/>
        <w:tblW w:w="7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5" w:type="dxa"/>
          </w:tcPr>
          <w:p>
            <w:pPr>
              <w:jc w:val="center"/>
              <w:rPr>
                <w:rFonts w:hint="default" w:ascii="仿宋" w:hAnsi="仿宋" w:eastAsia="仿宋"/>
                <w:color w:val="auto"/>
                <w:kern w:val="0"/>
                <w:sz w:val="28"/>
                <w:szCs w:val="28"/>
                <w:highlight w:val="none"/>
                <w:lang w:val="en-US" w:eastAsia="zh-CN"/>
              </w:rPr>
            </w:pPr>
            <w:r>
              <w:rPr>
                <w:rFonts w:hint="eastAsia" w:ascii="仿宋" w:hAnsi="仿宋" w:eastAsia="仿宋"/>
                <w:color w:val="auto"/>
                <w:kern w:val="0"/>
                <w:sz w:val="28"/>
                <w:szCs w:val="28"/>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5" w:type="dxa"/>
          </w:tcPr>
          <w:p>
            <w:pP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名称：深圳人才园停车场道闸系统</w:t>
            </w:r>
          </w:p>
          <w:p>
            <w:pPr>
              <w:rPr>
                <w:rFonts w:hint="eastAsia" w:ascii="仿宋" w:hAnsi="仿宋" w:eastAsia="仿宋"/>
                <w:color w:val="auto"/>
                <w:kern w:val="0"/>
                <w:sz w:val="28"/>
                <w:szCs w:val="28"/>
                <w:highlight w:val="none"/>
                <w:lang w:val="en-US" w:eastAsia="zh-CN"/>
              </w:rPr>
            </w:pPr>
            <w:r>
              <w:rPr>
                <w:rFonts w:hint="eastAsia" w:ascii="仿宋" w:hAnsi="仿宋" w:eastAsia="仿宋"/>
                <w:color w:val="auto"/>
                <w:kern w:val="0"/>
                <w:sz w:val="28"/>
                <w:szCs w:val="28"/>
                <w:highlight w:val="none"/>
              </w:rPr>
              <w:t>品牌：</w:t>
            </w:r>
            <w:r>
              <w:rPr>
                <w:rFonts w:hint="eastAsia" w:ascii="仿宋" w:hAnsi="仿宋" w:eastAsia="仿宋"/>
                <w:color w:val="auto"/>
                <w:kern w:val="0"/>
                <w:sz w:val="28"/>
                <w:szCs w:val="28"/>
                <w:highlight w:val="none"/>
                <w:lang w:val="en-US" w:eastAsia="zh-CN"/>
              </w:rPr>
              <w:t>详见《投标分项报价表》</w:t>
            </w:r>
          </w:p>
          <w:p>
            <w:pP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规格型号：</w:t>
            </w:r>
            <w:r>
              <w:rPr>
                <w:rFonts w:hint="eastAsia" w:ascii="仿宋" w:hAnsi="仿宋" w:eastAsia="仿宋"/>
                <w:color w:val="auto"/>
                <w:kern w:val="0"/>
                <w:sz w:val="28"/>
                <w:szCs w:val="28"/>
                <w:highlight w:val="none"/>
                <w:lang w:val="en-US" w:eastAsia="zh-CN"/>
              </w:rPr>
              <w:t>详见《投标分项报价表》</w:t>
            </w:r>
          </w:p>
          <w:p>
            <w:pP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数量：</w:t>
            </w:r>
            <w:r>
              <w:rPr>
                <w:rFonts w:hint="eastAsia" w:ascii="仿宋" w:hAnsi="仿宋" w:eastAsia="仿宋"/>
                <w:color w:val="auto"/>
                <w:kern w:val="0"/>
                <w:sz w:val="28"/>
                <w:szCs w:val="28"/>
                <w:highlight w:val="none"/>
                <w:lang w:val="en-US" w:eastAsia="zh-CN"/>
              </w:rPr>
              <w:t>详见《投标分项报价表》</w:t>
            </w:r>
          </w:p>
          <w:p>
            <w:pPr>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单价：</w:t>
            </w:r>
            <w:r>
              <w:rPr>
                <w:rFonts w:hint="eastAsia" w:ascii="仿宋" w:hAnsi="仿宋" w:eastAsia="仿宋"/>
                <w:color w:val="auto"/>
                <w:kern w:val="0"/>
                <w:sz w:val="28"/>
                <w:szCs w:val="28"/>
                <w:highlight w:val="none"/>
                <w:lang w:val="en-US" w:eastAsia="zh-CN"/>
              </w:rPr>
              <w:t>详见《投标分项报价表》</w:t>
            </w:r>
          </w:p>
        </w:tc>
      </w:tr>
    </w:tbl>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七、评审委员会成员名单：侯斌</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王明福</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朱永红</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王幸平</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刘勇</w:t>
      </w:r>
    </w:p>
    <w:p>
      <w:pPr>
        <w:keepNext w:val="0"/>
        <w:keepLines w:val="0"/>
        <w:pageBreakBefore w:val="0"/>
        <w:widowControl w:val="0"/>
        <w:kinsoku/>
        <w:wordWrap/>
        <w:overflowPunct/>
        <w:topLinePunct w:val="0"/>
        <w:autoSpaceDE/>
        <w:autoSpaceDN/>
        <w:bidi w:val="0"/>
        <w:adjustRightInd/>
        <w:snapToGrid/>
        <w:ind w:left="420" w:leftChars="0" w:firstLine="39" w:firstLineChars="14"/>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八、代理服务收费标准及金额：按《深圳市财政委员会关于规范深圳市社会采购代理机构管理有关事项的补充通知》（深财购〔2018〕27号）代理费用参考标准规定的“货物类”计算后收取</w:t>
      </w:r>
      <w:r>
        <w:rPr>
          <w:rFonts w:hint="eastAsia" w:ascii="仿宋" w:hAnsi="仿宋" w:eastAsia="仿宋" w:cs="宋体"/>
          <w:color w:val="auto"/>
          <w:kern w:val="0"/>
          <w:sz w:val="28"/>
          <w:szCs w:val="28"/>
          <w:highlight w:val="none"/>
        </w:rPr>
        <w:t>；人民币</w:t>
      </w:r>
      <w:r>
        <w:rPr>
          <w:rFonts w:hint="eastAsia" w:ascii="仿宋" w:hAnsi="仿宋" w:eastAsia="仿宋" w:cs="宋体"/>
          <w:color w:val="auto"/>
          <w:kern w:val="0"/>
          <w:sz w:val="28"/>
          <w:szCs w:val="28"/>
          <w:highlight w:val="none"/>
          <w:lang w:val="en-US" w:eastAsia="zh-CN"/>
        </w:rPr>
        <w:t>1.111</w:t>
      </w:r>
      <w:r>
        <w:rPr>
          <w:rFonts w:hint="eastAsia" w:ascii="仿宋" w:hAnsi="仿宋" w:eastAsia="仿宋" w:cs="宋体"/>
          <w:color w:val="auto"/>
          <w:kern w:val="0"/>
          <w:sz w:val="28"/>
          <w:szCs w:val="28"/>
          <w:highlight w:val="none"/>
        </w:rPr>
        <w:t>万元。</w:t>
      </w:r>
    </w:p>
    <w:p>
      <w:pPr>
        <w:ind w:left="420"/>
        <w:rPr>
          <w:rFonts w:ascii="仿宋" w:hAnsi="仿宋" w:eastAsia="仿宋"/>
          <w:color w:val="auto"/>
          <w:sz w:val="28"/>
          <w:szCs w:val="28"/>
          <w:highlight w:val="none"/>
        </w:rPr>
      </w:pPr>
      <w:r>
        <w:rPr>
          <w:rFonts w:hint="eastAsia" w:ascii="仿宋" w:hAnsi="仿宋" w:eastAsia="仿宋"/>
          <w:color w:val="auto"/>
          <w:sz w:val="28"/>
          <w:szCs w:val="28"/>
          <w:highlight w:val="none"/>
        </w:rPr>
        <w:t>九、公示期限</w:t>
      </w:r>
    </w:p>
    <w:p>
      <w:pPr>
        <w:ind w:firstLine="560" w:firstLineChars="200"/>
        <w:rPr>
          <w:rFonts w:ascii="仿宋" w:hAnsi="仿宋" w:eastAsia="仿宋" w:cs="宋体"/>
          <w:color w:val="auto"/>
          <w:kern w:val="0"/>
          <w:sz w:val="28"/>
          <w:szCs w:val="28"/>
          <w:highlight w:val="none"/>
        </w:rPr>
      </w:pPr>
      <w:r>
        <w:rPr>
          <w:rFonts w:hint="eastAsia" w:ascii="仿宋" w:hAnsi="仿宋" w:eastAsia="仿宋"/>
          <w:color w:val="auto"/>
          <w:sz w:val="28"/>
          <w:szCs w:val="28"/>
          <w:highlight w:val="none"/>
          <w:u w:val="none"/>
          <w:lang w:val="en-US" w:eastAsia="zh-CN"/>
        </w:rPr>
        <w:t>2023</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12</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12</w:t>
      </w:r>
      <w:r>
        <w:rPr>
          <w:rFonts w:hint="eastAsia" w:ascii="仿宋" w:hAnsi="仿宋" w:eastAsia="仿宋"/>
          <w:color w:val="auto"/>
          <w:sz w:val="28"/>
          <w:szCs w:val="28"/>
          <w:highlight w:val="none"/>
          <w:u w:val="none"/>
        </w:rPr>
        <w:t>日至</w:t>
      </w:r>
      <w:r>
        <w:rPr>
          <w:rFonts w:hint="eastAsia" w:ascii="仿宋" w:hAnsi="仿宋" w:eastAsia="仿宋"/>
          <w:color w:val="auto"/>
          <w:sz w:val="28"/>
          <w:szCs w:val="28"/>
          <w:highlight w:val="none"/>
          <w:u w:val="none"/>
          <w:lang w:val="en-US" w:eastAsia="zh-CN"/>
        </w:rPr>
        <w:t>2023</w:t>
      </w:r>
      <w:r>
        <w:rPr>
          <w:rFonts w:hint="eastAsia" w:ascii="仿宋" w:hAnsi="仿宋" w:eastAsia="仿宋"/>
          <w:color w:val="auto"/>
          <w:sz w:val="28"/>
          <w:szCs w:val="28"/>
          <w:highlight w:val="none"/>
          <w:u w:val="none"/>
        </w:rPr>
        <w:t>年</w:t>
      </w:r>
      <w:r>
        <w:rPr>
          <w:rFonts w:hint="eastAsia" w:ascii="仿宋" w:hAnsi="仿宋" w:eastAsia="仿宋"/>
          <w:color w:val="auto"/>
          <w:sz w:val="28"/>
          <w:szCs w:val="28"/>
          <w:highlight w:val="none"/>
          <w:u w:val="none"/>
          <w:lang w:val="en-US" w:eastAsia="zh-CN"/>
        </w:rPr>
        <w:t>12</w:t>
      </w:r>
      <w:r>
        <w:rPr>
          <w:rFonts w:hint="eastAsia" w:ascii="仿宋" w:hAnsi="仿宋" w:eastAsia="仿宋"/>
          <w:color w:val="auto"/>
          <w:sz w:val="28"/>
          <w:szCs w:val="28"/>
          <w:highlight w:val="none"/>
          <w:u w:val="none"/>
        </w:rPr>
        <w:t>月</w:t>
      </w:r>
      <w:r>
        <w:rPr>
          <w:rFonts w:hint="eastAsia" w:ascii="仿宋" w:hAnsi="仿宋" w:eastAsia="仿宋"/>
          <w:color w:val="auto"/>
          <w:sz w:val="28"/>
          <w:szCs w:val="28"/>
          <w:highlight w:val="none"/>
          <w:u w:val="none"/>
          <w:lang w:val="en-US" w:eastAsia="zh-CN"/>
        </w:rPr>
        <w:t>14</w:t>
      </w:r>
      <w:r>
        <w:rPr>
          <w:rFonts w:hint="eastAsia" w:ascii="仿宋" w:hAnsi="仿宋" w:eastAsia="仿宋"/>
          <w:color w:val="auto"/>
          <w:sz w:val="28"/>
          <w:szCs w:val="28"/>
          <w:highlight w:val="none"/>
          <w:u w:val="none"/>
        </w:rPr>
        <w:t>日</w:t>
      </w:r>
      <w:r>
        <w:rPr>
          <w:rFonts w:hint="eastAsia" w:ascii="仿宋" w:hAnsi="仿宋" w:eastAsia="仿宋" w:cs="宋体"/>
          <w:color w:val="auto"/>
          <w:kern w:val="0"/>
          <w:sz w:val="28"/>
          <w:szCs w:val="28"/>
          <w:highlight w:val="none"/>
        </w:rPr>
        <w:t>。</w:t>
      </w:r>
    </w:p>
    <w:p>
      <w:pPr>
        <w:ind w:left="42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十、其他补充事宜</w:t>
      </w:r>
    </w:p>
    <w:p>
      <w:pPr>
        <w:ind w:firstLine="280" w:firstLineChars="1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（一）供应商质疑</w:t>
      </w:r>
    </w:p>
    <w:p>
      <w:pPr>
        <w:widowControl/>
        <w:ind w:firstLine="560" w:firstLineChars="200"/>
        <w:jc w:val="left"/>
        <w:rPr>
          <w:rFonts w:ascii="仿宋" w:hAnsi="仿宋" w:eastAsia="仿宋"/>
          <w:color w:val="auto"/>
          <w:kern w:val="0"/>
          <w:sz w:val="28"/>
          <w:szCs w:val="28"/>
          <w:highlight w:val="none"/>
        </w:rPr>
      </w:pPr>
      <w:r>
        <w:rPr>
          <w:rFonts w:ascii="仿宋" w:hAnsi="仿宋" w:eastAsia="仿宋"/>
          <w:color w:val="auto"/>
          <w:kern w:val="0"/>
          <w:sz w:val="28"/>
          <w:szCs w:val="28"/>
          <w:highlight w:val="none"/>
        </w:rPr>
        <w:t>供应商认为中标或者成交结果使自己的权益受到损害的</w:t>
      </w:r>
      <w:r>
        <w:rPr>
          <w:rFonts w:hint="eastAsia" w:ascii="仿宋" w:hAnsi="仿宋" w:eastAsia="仿宋"/>
          <w:color w:val="auto"/>
          <w:kern w:val="0"/>
          <w:sz w:val="28"/>
          <w:szCs w:val="28"/>
          <w:highlight w:val="none"/>
        </w:rPr>
        <w:t>，应当自本公告发布之日起七个工作日内</w:t>
      </w:r>
      <w:bookmarkStart w:id="0" w:name="_Hlk27380774"/>
      <w:r>
        <w:rPr>
          <w:rFonts w:hint="eastAsia" w:ascii="仿宋" w:hAnsi="仿宋" w:eastAsia="仿宋"/>
          <w:color w:val="auto"/>
          <w:kern w:val="0"/>
          <w:sz w:val="28"/>
          <w:szCs w:val="28"/>
          <w:highlight w:val="none"/>
        </w:rPr>
        <w:t>以书面形式向采联国际招标采购集团有限公司（或采购人）提出质疑，逾期将依法不予受理。</w:t>
      </w:r>
      <w:bookmarkEnd w:id="0"/>
    </w:p>
    <w:p>
      <w:pPr>
        <w:spacing w:line="360" w:lineRule="auto"/>
        <w:ind w:firstLine="280" w:firstLineChars="100"/>
        <w:rPr>
          <w:rFonts w:ascii="仿宋" w:hAnsi="仿宋" w:eastAsia="仿宋" w:cs="宋体"/>
          <w:color w:val="auto"/>
          <w:sz w:val="28"/>
          <w:szCs w:val="28"/>
          <w:highlight w:val="none"/>
        </w:rPr>
      </w:pPr>
      <w:r>
        <w:rPr>
          <w:rFonts w:hint="eastAsia" w:ascii="仿宋" w:hAnsi="仿宋" w:eastAsia="仿宋"/>
          <w:color w:val="auto"/>
          <w:kern w:val="0"/>
          <w:sz w:val="28"/>
          <w:szCs w:val="28"/>
          <w:highlight w:val="none"/>
        </w:rPr>
        <w:t>（二）</w:t>
      </w:r>
      <w:r>
        <w:rPr>
          <w:rFonts w:hint="eastAsia" w:ascii="仿宋" w:hAnsi="仿宋" w:eastAsia="仿宋" w:cs="宋体"/>
          <w:color w:val="auto"/>
          <w:sz w:val="28"/>
          <w:szCs w:val="28"/>
          <w:highlight w:val="none"/>
        </w:rPr>
        <w:t>本项目相关公告在以下媒体发布:</w:t>
      </w:r>
    </w:p>
    <w:p>
      <w:pPr>
        <w:widowControl/>
        <w:wordWrap w:val="0"/>
        <w:ind w:firstLine="560" w:firstLineChars="200"/>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相关媒体：深圳公共资源交易中心网站（www.szzfcg.cn）、采购代理机构网站（www.chinapsp.cn）、深圳市人力资源和社会保障局官网（http://hrss.sz.gov.cn/）。相关公告在上述媒体上公布之日即视为有效送达，不再另行通知。</w:t>
      </w:r>
    </w:p>
    <w:p>
      <w:pPr>
        <w:ind w:left="42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十一、凡对本次公告内容提出询问，请按以下方式联系。</w:t>
      </w:r>
    </w:p>
    <w:p>
      <w:pPr>
        <w:adjustRightInd w:val="0"/>
        <w:snapToGrid w:val="0"/>
        <w:spacing w:line="360" w:lineRule="auto"/>
        <w:ind w:left="1121" w:leftChars="238" w:hanging="621" w:hangingChars="222"/>
        <w:jc w:val="left"/>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（一）采购人信息</w:t>
      </w:r>
    </w:p>
    <w:p>
      <w:pPr>
        <w:adjustRightInd w:val="0"/>
        <w:snapToGrid w:val="0"/>
        <w:spacing w:line="360" w:lineRule="auto"/>
        <w:ind w:left="1121" w:leftChars="238" w:hanging="621" w:hangingChars="222"/>
        <w:jc w:val="left"/>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名称：</w:t>
      </w:r>
      <w:r>
        <w:rPr>
          <w:rFonts w:hint="eastAsia" w:ascii="仿宋" w:hAnsi="仿宋" w:eastAsia="仿宋" w:cs="宋体"/>
          <w:bCs/>
          <w:color w:val="auto"/>
          <w:kern w:val="0"/>
          <w:sz w:val="28"/>
          <w:szCs w:val="28"/>
          <w:highlight w:val="none"/>
          <w:lang w:eastAsia="zh-CN"/>
        </w:rPr>
        <w:t>深圳市人力资源和社会保障局</w:t>
      </w:r>
    </w:p>
    <w:p>
      <w:pPr>
        <w:adjustRightInd w:val="0"/>
        <w:snapToGrid w:val="0"/>
        <w:spacing w:line="360" w:lineRule="auto"/>
        <w:ind w:left="1121" w:leftChars="238" w:hanging="621" w:hangingChars="222"/>
        <w:jc w:val="left"/>
        <w:rPr>
          <w:rFonts w:ascii="仿宋" w:hAnsi="仿宋" w:eastAsia="仿宋"/>
          <w:color w:val="auto"/>
          <w:sz w:val="28"/>
          <w:szCs w:val="28"/>
          <w:highlight w:val="none"/>
        </w:rPr>
      </w:pPr>
      <w:r>
        <w:rPr>
          <w:rFonts w:hint="eastAsia" w:ascii="仿宋" w:hAnsi="仿宋" w:eastAsia="仿宋"/>
          <w:color w:val="auto"/>
          <w:sz w:val="28"/>
          <w:szCs w:val="28"/>
          <w:highlight w:val="none"/>
        </w:rPr>
        <w:t>地址：深圳市福田区深南大道8005号</w:t>
      </w:r>
    </w:p>
    <w:p>
      <w:pPr>
        <w:adjustRightInd w:val="0"/>
        <w:snapToGrid w:val="0"/>
        <w:spacing w:line="360" w:lineRule="auto"/>
        <w:ind w:left="1121" w:leftChars="238" w:hanging="621" w:hangingChars="222"/>
        <w:jc w:val="left"/>
        <w:rPr>
          <w:rFonts w:ascii="仿宋" w:hAnsi="仿宋" w:eastAsia="仿宋"/>
          <w:color w:val="auto"/>
          <w:sz w:val="28"/>
          <w:szCs w:val="28"/>
          <w:highlight w:val="none"/>
        </w:rPr>
      </w:pPr>
      <w:bookmarkStart w:id="1" w:name="_Toc28359009"/>
      <w:bookmarkStart w:id="2" w:name="_Toc28359086"/>
      <w:r>
        <w:rPr>
          <w:rFonts w:hint="eastAsia" w:ascii="仿宋" w:hAnsi="仿宋" w:eastAsia="仿宋" w:cs="宋体"/>
          <w:color w:val="auto"/>
          <w:sz w:val="28"/>
          <w:szCs w:val="28"/>
          <w:highlight w:val="none"/>
        </w:rPr>
        <w:t>（</w:t>
      </w:r>
      <w:r>
        <w:rPr>
          <w:rFonts w:hint="eastAsia" w:ascii="仿宋" w:hAnsi="仿宋" w:eastAsia="仿宋" w:cs="宋体"/>
          <w:color w:val="auto"/>
          <w:sz w:val="28"/>
          <w:szCs w:val="28"/>
          <w:highlight w:val="none"/>
          <w:lang w:eastAsia="zh-CN"/>
        </w:rPr>
        <w:t>二</w:t>
      </w:r>
      <w:r>
        <w:rPr>
          <w:rFonts w:hint="eastAsia" w:ascii="仿宋" w:hAnsi="仿宋" w:eastAsia="仿宋" w:cs="宋体"/>
          <w:color w:val="auto"/>
          <w:sz w:val="28"/>
          <w:szCs w:val="28"/>
          <w:highlight w:val="none"/>
        </w:rPr>
        <w:t>）采购代理机构</w:t>
      </w:r>
      <w:bookmarkEnd w:id="1"/>
      <w:bookmarkEnd w:id="2"/>
    </w:p>
    <w:p>
      <w:pPr>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名称：</w:t>
      </w:r>
      <w:r>
        <w:rPr>
          <w:rFonts w:hint="eastAsia" w:ascii="仿宋" w:hAnsi="仿宋" w:eastAsia="仿宋" w:cs="宋体"/>
          <w:color w:val="auto"/>
          <w:sz w:val="28"/>
          <w:szCs w:val="28"/>
          <w:highlight w:val="none"/>
        </w:rPr>
        <w:t>采联国际招标采购集团有限公司</w:t>
      </w:r>
    </w:p>
    <w:p>
      <w:pPr>
        <w:adjustRightInd w:val="0"/>
        <w:snapToGrid w:val="0"/>
        <w:spacing w:line="360" w:lineRule="auto"/>
        <w:ind w:left="97" w:leftChars="46" w:firstLine="442" w:firstLineChars="158"/>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地址：深圳市福田区竹子林中国经贸大厦</w:t>
      </w:r>
      <w:bookmarkStart w:id="3" w:name="_Toc28359010"/>
      <w:bookmarkStart w:id="4" w:name="_Toc28359087"/>
      <w:r>
        <w:rPr>
          <w:rFonts w:hint="eastAsia" w:ascii="仿宋" w:hAnsi="仿宋" w:eastAsia="仿宋"/>
          <w:color w:val="auto"/>
          <w:sz w:val="28"/>
          <w:szCs w:val="28"/>
          <w:highlight w:val="none"/>
        </w:rPr>
        <w:t>10楼采联国际招标采购集团有限公司深圳分公司</w:t>
      </w:r>
    </w:p>
    <w:p>
      <w:pPr>
        <w:adjustRightInd w:val="0"/>
        <w:snapToGrid w:val="0"/>
        <w:spacing w:line="360" w:lineRule="auto"/>
        <w:ind w:left="1121" w:leftChars="238" w:hanging="621" w:hangingChars="222"/>
        <w:rPr>
          <w:rFonts w:ascii="仿宋" w:hAnsi="仿宋" w:eastAsia="仿宋"/>
          <w:color w:val="auto"/>
          <w:sz w:val="28"/>
          <w:szCs w:val="28"/>
          <w:highlight w:val="none"/>
          <w:u w:val="single"/>
        </w:rPr>
      </w:pPr>
      <w:r>
        <w:rPr>
          <w:rFonts w:hint="eastAsia" w:ascii="仿宋" w:hAnsi="仿宋" w:eastAsia="仿宋" w:cs="宋体"/>
          <w:color w:val="auto"/>
          <w:sz w:val="28"/>
          <w:szCs w:val="28"/>
          <w:highlight w:val="none"/>
        </w:rPr>
        <w:t>（</w:t>
      </w:r>
      <w:r>
        <w:rPr>
          <w:rFonts w:hint="eastAsia" w:ascii="仿宋" w:hAnsi="仿宋" w:eastAsia="仿宋" w:cs="宋体"/>
          <w:color w:val="auto"/>
          <w:sz w:val="28"/>
          <w:szCs w:val="28"/>
          <w:highlight w:val="none"/>
          <w:lang w:eastAsia="zh-CN"/>
        </w:rPr>
        <w:t>三</w:t>
      </w:r>
      <w:r>
        <w:rPr>
          <w:rFonts w:hint="eastAsia" w:ascii="仿宋" w:hAnsi="仿宋" w:eastAsia="仿宋" w:cs="宋体"/>
          <w:color w:val="auto"/>
          <w:sz w:val="28"/>
          <w:szCs w:val="28"/>
          <w:highlight w:val="none"/>
        </w:rPr>
        <w:t>）项目</w:t>
      </w:r>
      <w:r>
        <w:rPr>
          <w:rFonts w:ascii="仿宋" w:hAnsi="仿宋" w:eastAsia="仿宋" w:cs="宋体"/>
          <w:color w:val="auto"/>
          <w:sz w:val="28"/>
          <w:szCs w:val="28"/>
          <w:highlight w:val="none"/>
        </w:rPr>
        <w:t>联系方式</w:t>
      </w:r>
      <w:bookmarkEnd w:id="3"/>
      <w:bookmarkEnd w:id="4"/>
    </w:p>
    <w:p>
      <w:pPr>
        <w:pStyle w:val="5"/>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项目联系人：</w:t>
      </w:r>
      <w:r>
        <w:rPr>
          <w:rFonts w:hint="eastAsia" w:ascii="仿宋" w:hAnsi="仿宋" w:eastAsia="仿宋" w:cs="宋体"/>
          <w:color w:val="auto"/>
          <w:sz w:val="28"/>
          <w:szCs w:val="28"/>
          <w:highlight w:val="none"/>
          <w:lang w:eastAsia="zh-CN"/>
        </w:rPr>
        <w:t>彭</w:t>
      </w:r>
      <w:r>
        <w:rPr>
          <w:rFonts w:hint="eastAsia" w:ascii="仿宋" w:hAnsi="仿宋" w:eastAsia="仿宋" w:cs="宋体"/>
          <w:color w:val="auto"/>
          <w:sz w:val="28"/>
          <w:szCs w:val="28"/>
          <w:highlight w:val="none"/>
        </w:rPr>
        <w:t>小姐</w:t>
      </w:r>
    </w:p>
    <w:p>
      <w:pPr>
        <w:keepNext w:val="0"/>
        <w:keepLines w:val="0"/>
        <w:pageBreakBefore w:val="0"/>
        <w:widowControl w:val="0"/>
        <w:kinsoku/>
        <w:wordWrap w:val="0"/>
        <w:overflowPunct/>
        <w:topLinePunct w:val="0"/>
        <w:autoSpaceDE/>
        <w:autoSpaceDN/>
        <w:bidi w:val="0"/>
        <w:adjustRightInd w:val="0"/>
        <w:snapToGrid w:val="0"/>
        <w:spacing w:line="360" w:lineRule="auto"/>
        <w:ind w:left="97" w:leftChars="46" w:firstLine="442" w:firstLineChars="158"/>
        <w:textAlignment w:val="auto"/>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电　话：0755-88377571或0755-88377572或0755-88377787或0755-88377576转23</w:t>
      </w:r>
      <w:r>
        <w:rPr>
          <w:rFonts w:hint="eastAsia" w:ascii="仿宋" w:hAnsi="仿宋" w:eastAsia="仿宋"/>
          <w:color w:val="auto"/>
          <w:sz w:val="28"/>
          <w:szCs w:val="28"/>
          <w:highlight w:val="none"/>
          <w:lang w:val="en-US" w:eastAsia="zh-CN"/>
        </w:rPr>
        <w:t>37</w:t>
      </w:r>
    </w:p>
    <w:p>
      <w:pPr>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邮 </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编：518040</w:t>
      </w:r>
    </w:p>
    <w:p>
      <w:pPr>
        <w:adjustRightInd w:val="0"/>
        <w:snapToGrid w:val="0"/>
        <w:spacing w:line="360" w:lineRule="auto"/>
        <w:ind w:left="1121" w:leftChars="238" w:hanging="621" w:hangingChars="222"/>
        <w:rPr>
          <w:rFonts w:ascii="仿宋" w:hAnsi="仿宋" w:eastAsia="仿宋"/>
          <w:color w:val="auto"/>
          <w:sz w:val="28"/>
          <w:szCs w:val="28"/>
          <w:highlight w:val="none"/>
        </w:rPr>
      </w:pPr>
      <w:r>
        <w:rPr>
          <w:rFonts w:hint="eastAsia" w:ascii="仿宋" w:hAnsi="仿宋" w:eastAsia="仿宋"/>
          <w:color w:val="auto"/>
          <w:sz w:val="28"/>
          <w:szCs w:val="28"/>
          <w:highlight w:val="none"/>
        </w:rPr>
        <w:t>邮 箱：cailiansz@126.com</w:t>
      </w:r>
    </w:p>
    <w:p>
      <w:pPr>
        <w:widowControl/>
        <w:ind w:left="420"/>
        <w:jc w:val="left"/>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十二、附件（可在采购代理机构（www.chinapsp.cn）网站查看）</w:t>
      </w:r>
    </w:p>
    <w:p>
      <w:pPr>
        <w:ind w:left="57" w:leftChars="27" w:firstLine="439" w:firstLineChars="157"/>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（一）</w:t>
      </w:r>
      <w:r>
        <w:rPr>
          <w:rFonts w:hint="eastAsia" w:ascii="仿宋" w:hAnsi="仿宋" w:eastAsia="仿宋" w:cs="宋体"/>
          <w:color w:val="auto"/>
          <w:kern w:val="0"/>
          <w:sz w:val="28"/>
          <w:szCs w:val="28"/>
          <w:highlight w:val="none"/>
          <w:lang w:eastAsia="zh-CN"/>
        </w:rPr>
        <w:t>招标文件</w:t>
      </w:r>
    </w:p>
    <w:p>
      <w:pPr>
        <w:ind w:left="57" w:leftChars="27" w:firstLine="439" w:firstLineChars="157"/>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w:t>
      </w:r>
      <w:r>
        <w:rPr>
          <w:rFonts w:hint="eastAsia" w:ascii="仿宋" w:hAnsi="仿宋" w:eastAsia="仿宋" w:cs="宋体"/>
          <w:color w:val="auto"/>
          <w:kern w:val="0"/>
          <w:sz w:val="28"/>
          <w:szCs w:val="28"/>
          <w:highlight w:val="none"/>
          <w:lang w:eastAsia="zh-CN"/>
        </w:rPr>
        <w:t>二</w:t>
      </w:r>
      <w:r>
        <w:rPr>
          <w:rFonts w:hint="eastAsia" w:ascii="仿宋" w:hAnsi="仿宋" w:eastAsia="仿宋" w:cs="宋体"/>
          <w:color w:val="auto"/>
          <w:kern w:val="0"/>
          <w:sz w:val="28"/>
          <w:szCs w:val="28"/>
          <w:highlight w:val="none"/>
        </w:rPr>
        <w:t>）投标分项报价表</w:t>
      </w:r>
    </w:p>
    <w:p>
      <w:pPr>
        <w:ind w:left="57" w:leftChars="27" w:firstLine="439" w:firstLineChars="157"/>
        <w:rPr>
          <w:rFonts w:hint="eastAsia" w:ascii="仿宋" w:hAnsi="仿宋" w:eastAsia="仿宋"/>
          <w:b/>
          <w:color w:val="auto"/>
          <w:sz w:val="28"/>
          <w:szCs w:val="28"/>
          <w:highlight w:val="none"/>
          <w:u w:val="none"/>
        </w:rPr>
      </w:pPr>
      <w:r>
        <w:rPr>
          <w:rFonts w:hint="eastAsia" w:ascii="仿宋" w:hAnsi="仿宋" w:eastAsia="仿宋" w:cs="宋体"/>
          <w:color w:val="auto"/>
          <w:kern w:val="0"/>
          <w:sz w:val="28"/>
          <w:szCs w:val="28"/>
          <w:highlight w:val="none"/>
        </w:rPr>
        <w:t>（</w:t>
      </w:r>
      <w:r>
        <w:rPr>
          <w:rFonts w:hint="eastAsia" w:ascii="仿宋" w:hAnsi="仿宋" w:eastAsia="仿宋" w:cs="宋体"/>
          <w:color w:val="auto"/>
          <w:kern w:val="0"/>
          <w:sz w:val="28"/>
          <w:szCs w:val="28"/>
          <w:highlight w:val="none"/>
          <w:lang w:eastAsia="zh-CN"/>
        </w:rPr>
        <w:t>三</w:t>
      </w:r>
      <w:r>
        <w:rPr>
          <w:rFonts w:hint="eastAsia" w:ascii="仿宋" w:hAnsi="仿宋" w:eastAsia="仿宋" w:cs="宋体"/>
          <w:color w:val="auto"/>
          <w:kern w:val="0"/>
          <w:sz w:val="28"/>
          <w:szCs w:val="28"/>
          <w:highlight w:val="none"/>
        </w:rPr>
        <w:t>）供应商诚信</w:t>
      </w:r>
    </w:p>
    <w:p>
      <w:pPr>
        <w:keepNext w:val="0"/>
        <w:keepLines w:val="0"/>
        <w:pageBreakBefore w:val="0"/>
        <w:widowControl w:val="0"/>
        <w:tabs>
          <w:tab w:val="right" w:pos="9180"/>
        </w:tabs>
        <w:kinsoku/>
        <w:wordWrap/>
        <w:overflowPunct/>
        <w:topLinePunct w:val="0"/>
        <w:autoSpaceDE/>
        <w:autoSpaceDN/>
        <w:bidi w:val="0"/>
        <w:adjustRightInd w:val="0"/>
        <w:snapToGrid w:val="0"/>
        <w:spacing w:before="625" w:beforeLines="200" w:line="360" w:lineRule="auto"/>
        <w:ind w:firstLine="437"/>
        <w:jc w:val="right"/>
        <w:textAlignment w:val="auto"/>
        <w:rPr>
          <w:rFonts w:ascii="仿宋" w:hAnsi="仿宋" w:eastAsia="仿宋"/>
          <w:b/>
          <w:color w:val="auto"/>
          <w:sz w:val="28"/>
          <w:szCs w:val="28"/>
          <w:highlight w:val="none"/>
          <w:u w:val="none"/>
        </w:rPr>
      </w:pPr>
      <w:r>
        <w:rPr>
          <w:rFonts w:hint="eastAsia" w:ascii="仿宋" w:hAnsi="仿宋" w:eastAsia="仿宋"/>
          <w:b/>
          <w:color w:val="auto"/>
          <w:sz w:val="28"/>
          <w:szCs w:val="28"/>
          <w:highlight w:val="none"/>
          <w:u w:val="none"/>
        </w:rPr>
        <w:t>采联国际招标采购集团有限公司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37"/>
        <w:jc w:val="right"/>
        <w:textAlignment w:val="auto"/>
        <w:rPr>
          <w:rFonts w:ascii="仿宋" w:hAnsi="仿宋" w:eastAsia="仿宋"/>
          <w:b/>
          <w:color w:val="auto"/>
          <w:sz w:val="28"/>
          <w:szCs w:val="28"/>
          <w:highlight w:val="none"/>
          <w:u w:val="none"/>
        </w:rPr>
      </w:pPr>
      <w:r>
        <w:rPr>
          <w:rFonts w:hint="eastAsia" w:ascii="仿宋" w:hAnsi="仿宋" w:eastAsia="仿宋"/>
          <w:b/>
          <w:color w:val="auto"/>
          <w:sz w:val="28"/>
          <w:szCs w:val="28"/>
          <w:highlight w:val="none"/>
          <w:u w:val="none"/>
          <w:lang w:val="en-US" w:eastAsia="zh-CN"/>
        </w:rPr>
        <w:t>2023</w:t>
      </w:r>
      <w:r>
        <w:rPr>
          <w:rFonts w:hint="eastAsia" w:ascii="仿宋" w:hAnsi="仿宋" w:eastAsia="仿宋"/>
          <w:b/>
          <w:color w:val="auto"/>
          <w:sz w:val="28"/>
          <w:szCs w:val="28"/>
          <w:highlight w:val="none"/>
          <w:u w:val="none"/>
        </w:rPr>
        <w:t>年</w:t>
      </w:r>
      <w:r>
        <w:rPr>
          <w:rFonts w:hint="eastAsia" w:ascii="仿宋" w:hAnsi="仿宋" w:eastAsia="仿宋"/>
          <w:b/>
          <w:color w:val="auto"/>
          <w:sz w:val="28"/>
          <w:szCs w:val="28"/>
          <w:highlight w:val="none"/>
          <w:u w:val="none"/>
          <w:lang w:val="en-US" w:eastAsia="zh-CN"/>
        </w:rPr>
        <w:t>12</w:t>
      </w:r>
      <w:r>
        <w:rPr>
          <w:rFonts w:hint="eastAsia" w:ascii="仿宋" w:hAnsi="仿宋" w:eastAsia="仿宋"/>
          <w:b/>
          <w:color w:val="auto"/>
          <w:sz w:val="28"/>
          <w:szCs w:val="28"/>
          <w:highlight w:val="none"/>
          <w:u w:val="none"/>
        </w:rPr>
        <w:t>月</w:t>
      </w:r>
      <w:r>
        <w:rPr>
          <w:rFonts w:hint="eastAsia" w:ascii="仿宋" w:hAnsi="仿宋" w:eastAsia="仿宋"/>
          <w:b/>
          <w:color w:val="auto"/>
          <w:sz w:val="28"/>
          <w:szCs w:val="28"/>
          <w:highlight w:val="none"/>
          <w:u w:val="none"/>
          <w:lang w:val="en-US" w:eastAsia="zh-CN"/>
        </w:rPr>
        <w:t>11</w:t>
      </w:r>
      <w:r>
        <w:rPr>
          <w:rFonts w:hint="eastAsia" w:ascii="仿宋" w:hAnsi="仿宋" w:eastAsia="仿宋"/>
          <w:b/>
          <w:color w:val="auto"/>
          <w:sz w:val="28"/>
          <w:szCs w:val="28"/>
          <w:highlight w:val="none"/>
          <w:u w:val="none"/>
        </w:rPr>
        <w:t>日</w:t>
      </w:r>
    </w:p>
    <w:p>
      <w:pPr>
        <w:widowControl/>
        <w:spacing w:before="100" w:beforeAutospacing="1" w:after="100" w:afterAutospacing="1"/>
        <w:jc w:val="center"/>
        <w:rPr>
          <w:rFonts w:ascii="仿宋" w:hAnsi="仿宋" w:eastAsia="仿宋" w:cstheme="minorBidi"/>
          <w:sz w:val="28"/>
          <w:szCs w:val="28"/>
          <w:highlight w:val="none"/>
        </w:rPr>
      </w:pPr>
    </w:p>
    <w:sectPr>
      <w:pgSz w:w="11906" w:h="16838"/>
      <w:pgMar w:top="1440" w:right="1134"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5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RiZGVhN2VlZDFjYWYwOWMyYzY0NzIxYmQwZTk3MzMifQ=="/>
  </w:docVars>
  <w:rsids>
    <w:rsidRoot w:val="00430B55"/>
    <w:rsid w:val="00004E37"/>
    <w:rsid w:val="0000797F"/>
    <w:rsid w:val="00037406"/>
    <w:rsid w:val="00040F29"/>
    <w:rsid w:val="00045F11"/>
    <w:rsid w:val="000670C8"/>
    <w:rsid w:val="000801F4"/>
    <w:rsid w:val="000815E8"/>
    <w:rsid w:val="00093379"/>
    <w:rsid w:val="000A5B41"/>
    <w:rsid w:val="000D7D7C"/>
    <w:rsid w:val="000F3591"/>
    <w:rsid w:val="00104A74"/>
    <w:rsid w:val="00115AC7"/>
    <w:rsid w:val="00127858"/>
    <w:rsid w:val="00155EC9"/>
    <w:rsid w:val="00174B43"/>
    <w:rsid w:val="001B2FD7"/>
    <w:rsid w:val="001E6BA1"/>
    <w:rsid w:val="00217419"/>
    <w:rsid w:val="00223B06"/>
    <w:rsid w:val="00235A41"/>
    <w:rsid w:val="00251E8D"/>
    <w:rsid w:val="002804FD"/>
    <w:rsid w:val="002D17E3"/>
    <w:rsid w:val="002E78E8"/>
    <w:rsid w:val="002F4CC6"/>
    <w:rsid w:val="002F7D23"/>
    <w:rsid w:val="003021D1"/>
    <w:rsid w:val="00322178"/>
    <w:rsid w:val="003226BB"/>
    <w:rsid w:val="00327A23"/>
    <w:rsid w:val="00334C25"/>
    <w:rsid w:val="0037269B"/>
    <w:rsid w:val="00381BF2"/>
    <w:rsid w:val="003A2ADF"/>
    <w:rsid w:val="003B043D"/>
    <w:rsid w:val="003D66D2"/>
    <w:rsid w:val="003D7060"/>
    <w:rsid w:val="003F61F4"/>
    <w:rsid w:val="00404D7D"/>
    <w:rsid w:val="00416B37"/>
    <w:rsid w:val="00430B55"/>
    <w:rsid w:val="00436061"/>
    <w:rsid w:val="00445B92"/>
    <w:rsid w:val="004662CB"/>
    <w:rsid w:val="00467B93"/>
    <w:rsid w:val="00473E97"/>
    <w:rsid w:val="004754B6"/>
    <w:rsid w:val="004808F2"/>
    <w:rsid w:val="004D455F"/>
    <w:rsid w:val="00573049"/>
    <w:rsid w:val="00576621"/>
    <w:rsid w:val="005B304B"/>
    <w:rsid w:val="005C093E"/>
    <w:rsid w:val="005C5AF3"/>
    <w:rsid w:val="005F5A82"/>
    <w:rsid w:val="005F6720"/>
    <w:rsid w:val="005F735A"/>
    <w:rsid w:val="006337AF"/>
    <w:rsid w:val="00634485"/>
    <w:rsid w:val="006442EB"/>
    <w:rsid w:val="00654071"/>
    <w:rsid w:val="00654BFD"/>
    <w:rsid w:val="00683C3D"/>
    <w:rsid w:val="006B6DB3"/>
    <w:rsid w:val="006C0C4A"/>
    <w:rsid w:val="006D3071"/>
    <w:rsid w:val="006D3201"/>
    <w:rsid w:val="0071272F"/>
    <w:rsid w:val="00733C15"/>
    <w:rsid w:val="00745917"/>
    <w:rsid w:val="00757832"/>
    <w:rsid w:val="00777A20"/>
    <w:rsid w:val="007C2591"/>
    <w:rsid w:val="008025F1"/>
    <w:rsid w:val="00837B6C"/>
    <w:rsid w:val="00842E72"/>
    <w:rsid w:val="008553CE"/>
    <w:rsid w:val="008930D8"/>
    <w:rsid w:val="008F3AE8"/>
    <w:rsid w:val="009127E4"/>
    <w:rsid w:val="0093263A"/>
    <w:rsid w:val="00955E7A"/>
    <w:rsid w:val="0098101D"/>
    <w:rsid w:val="009A63E2"/>
    <w:rsid w:val="009B0517"/>
    <w:rsid w:val="009B3B09"/>
    <w:rsid w:val="009E24D6"/>
    <w:rsid w:val="00A027FF"/>
    <w:rsid w:val="00A02956"/>
    <w:rsid w:val="00A04E2C"/>
    <w:rsid w:val="00A15294"/>
    <w:rsid w:val="00A21FD6"/>
    <w:rsid w:val="00A423F9"/>
    <w:rsid w:val="00A458D3"/>
    <w:rsid w:val="00A82758"/>
    <w:rsid w:val="00A93813"/>
    <w:rsid w:val="00AA046A"/>
    <w:rsid w:val="00AA31A9"/>
    <w:rsid w:val="00AB0337"/>
    <w:rsid w:val="00AB520B"/>
    <w:rsid w:val="00AC347D"/>
    <w:rsid w:val="00AE2241"/>
    <w:rsid w:val="00AF2D84"/>
    <w:rsid w:val="00B00116"/>
    <w:rsid w:val="00B028F3"/>
    <w:rsid w:val="00B22240"/>
    <w:rsid w:val="00B22843"/>
    <w:rsid w:val="00B517A2"/>
    <w:rsid w:val="00B56A3F"/>
    <w:rsid w:val="00B94844"/>
    <w:rsid w:val="00BC5F13"/>
    <w:rsid w:val="00C009CC"/>
    <w:rsid w:val="00C144C2"/>
    <w:rsid w:val="00C14C85"/>
    <w:rsid w:val="00C53726"/>
    <w:rsid w:val="00C662FF"/>
    <w:rsid w:val="00CA4173"/>
    <w:rsid w:val="00CB000E"/>
    <w:rsid w:val="00CB25C8"/>
    <w:rsid w:val="00CC20AC"/>
    <w:rsid w:val="00D34A19"/>
    <w:rsid w:val="00D502B8"/>
    <w:rsid w:val="00D5530F"/>
    <w:rsid w:val="00D6242C"/>
    <w:rsid w:val="00D65D02"/>
    <w:rsid w:val="00D67B1A"/>
    <w:rsid w:val="00DA63EC"/>
    <w:rsid w:val="00DC2E45"/>
    <w:rsid w:val="00DE0CCD"/>
    <w:rsid w:val="00DE7163"/>
    <w:rsid w:val="00DF0334"/>
    <w:rsid w:val="00E1277C"/>
    <w:rsid w:val="00E1422B"/>
    <w:rsid w:val="00E4044F"/>
    <w:rsid w:val="00E80096"/>
    <w:rsid w:val="00EA3824"/>
    <w:rsid w:val="00EC2C7B"/>
    <w:rsid w:val="00EC320F"/>
    <w:rsid w:val="00EF1E0B"/>
    <w:rsid w:val="00EF1F85"/>
    <w:rsid w:val="00F01ED0"/>
    <w:rsid w:val="00F148FE"/>
    <w:rsid w:val="00F830D2"/>
    <w:rsid w:val="00FA5075"/>
    <w:rsid w:val="00FA5FF8"/>
    <w:rsid w:val="00FE1D4A"/>
    <w:rsid w:val="00FE314F"/>
    <w:rsid w:val="00FE3960"/>
    <w:rsid w:val="03A9358B"/>
    <w:rsid w:val="09D937EA"/>
    <w:rsid w:val="09E614A1"/>
    <w:rsid w:val="0E903B52"/>
    <w:rsid w:val="0F307EA4"/>
    <w:rsid w:val="13095D43"/>
    <w:rsid w:val="137678B4"/>
    <w:rsid w:val="138275F0"/>
    <w:rsid w:val="14D42DB1"/>
    <w:rsid w:val="15761F97"/>
    <w:rsid w:val="17FE0E64"/>
    <w:rsid w:val="188C32F1"/>
    <w:rsid w:val="1CC76CA7"/>
    <w:rsid w:val="1DAD1CE1"/>
    <w:rsid w:val="1FAD62E6"/>
    <w:rsid w:val="201358D5"/>
    <w:rsid w:val="20EF7C29"/>
    <w:rsid w:val="260C212E"/>
    <w:rsid w:val="26E93C26"/>
    <w:rsid w:val="2C4F0432"/>
    <w:rsid w:val="2FB64A9F"/>
    <w:rsid w:val="30831630"/>
    <w:rsid w:val="31BE28A4"/>
    <w:rsid w:val="32B36CE8"/>
    <w:rsid w:val="32BE2005"/>
    <w:rsid w:val="33D77C4D"/>
    <w:rsid w:val="37DC40A9"/>
    <w:rsid w:val="37E8065D"/>
    <w:rsid w:val="38BE1547"/>
    <w:rsid w:val="3A9C12B9"/>
    <w:rsid w:val="3D015476"/>
    <w:rsid w:val="3F8E1B07"/>
    <w:rsid w:val="40C96B6F"/>
    <w:rsid w:val="41AD1D1E"/>
    <w:rsid w:val="41B725E7"/>
    <w:rsid w:val="438C5687"/>
    <w:rsid w:val="45886FF9"/>
    <w:rsid w:val="47143C3C"/>
    <w:rsid w:val="4B8E31F1"/>
    <w:rsid w:val="4C743AE6"/>
    <w:rsid w:val="501A79B1"/>
    <w:rsid w:val="50431E61"/>
    <w:rsid w:val="515A6852"/>
    <w:rsid w:val="52171353"/>
    <w:rsid w:val="524F64F8"/>
    <w:rsid w:val="533A2DE6"/>
    <w:rsid w:val="538A2E61"/>
    <w:rsid w:val="53C102A5"/>
    <w:rsid w:val="5CBC610A"/>
    <w:rsid w:val="5CDD5A24"/>
    <w:rsid w:val="5DB1760E"/>
    <w:rsid w:val="5F830454"/>
    <w:rsid w:val="5FD70719"/>
    <w:rsid w:val="62BC43B0"/>
    <w:rsid w:val="675A1129"/>
    <w:rsid w:val="6A466D71"/>
    <w:rsid w:val="6AA818C5"/>
    <w:rsid w:val="72727742"/>
    <w:rsid w:val="74E0358A"/>
    <w:rsid w:val="76376A59"/>
    <w:rsid w:val="7A431165"/>
    <w:rsid w:val="7A63170E"/>
    <w:rsid w:val="7ACD5F49"/>
    <w:rsid w:val="7C354ADD"/>
    <w:rsid w:val="DE73E82E"/>
    <w:rsid w:val="FB2BC1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unhideWhenUsed/>
    <w:qFormat/>
    <w:uiPriority w:val="0"/>
    <w:pPr>
      <w:jc w:val="left"/>
    </w:pPr>
  </w:style>
  <w:style w:type="paragraph" w:styleId="5">
    <w:name w:val="Plain Text"/>
    <w:basedOn w:val="1"/>
    <w:link w:val="16"/>
    <w:qFormat/>
    <w:uiPriority w:val="0"/>
    <w:rPr>
      <w:rFonts w:ascii="宋体" w:hAnsi="Courier New" w:eastAsiaTheme="minorEastAsia" w:cstheme="minorBidi"/>
      <w:szCs w:val="22"/>
    </w:rPr>
  </w:style>
  <w:style w:type="paragraph" w:styleId="6">
    <w:name w:val="Balloon Text"/>
    <w:basedOn w:val="1"/>
    <w:link w:val="18"/>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1"/>
    <w:semiHidden/>
    <w:unhideWhenUsed/>
    <w:qFormat/>
    <w:uiPriority w:val="99"/>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unhideWhenUsed/>
    <w:qFormat/>
    <w:uiPriority w:val="0"/>
    <w:rPr>
      <w:sz w:val="21"/>
      <w:szCs w:val="21"/>
    </w:rPr>
  </w:style>
  <w:style w:type="character" w:customStyle="1" w:styleId="15">
    <w:name w:val="标题 1 字符"/>
    <w:basedOn w:val="12"/>
    <w:link w:val="2"/>
    <w:qFormat/>
    <w:uiPriority w:val="9"/>
    <w:rPr>
      <w:rFonts w:ascii="Times New Roman" w:hAnsi="Times New Roman" w:eastAsia="宋体" w:cs="Times New Roman"/>
      <w:b/>
      <w:bCs/>
      <w:kern w:val="44"/>
      <w:sz w:val="44"/>
      <w:szCs w:val="44"/>
    </w:rPr>
  </w:style>
  <w:style w:type="character" w:customStyle="1" w:styleId="16">
    <w:name w:val="纯文本 字符"/>
    <w:basedOn w:val="12"/>
    <w:link w:val="5"/>
    <w:qFormat/>
    <w:uiPriority w:val="0"/>
    <w:rPr>
      <w:rFonts w:ascii="宋体" w:hAnsi="Courier New"/>
    </w:rPr>
  </w:style>
  <w:style w:type="character" w:customStyle="1" w:styleId="17">
    <w:name w:val="批注文字 字符"/>
    <w:basedOn w:val="12"/>
    <w:link w:val="4"/>
    <w:qFormat/>
    <w:uiPriority w:val="0"/>
    <w:rPr>
      <w:rFonts w:ascii="Times New Roman" w:hAnsi="Times New Roman" w:eastAsia="宋体" w:cs="Times New Roman"/>
      <w:szCs w:val="21"/>
    </w:rPr>
  </w:style>
  <w:style w:type="character" w:customStyle="1" w:styleId="18">
    <w:name w:val="批注框文本 字符"/>
    <w:basedOn w:val="12"/>
    <w:link w:val="6"/>
    <w:semiHidden/>
    <w:qFormat/>
    <w:uiPriority w:val="99"/>
    <w:rPr>
      <w:rFonts w:ascii="Times New Roman" w:hAnsi="Times New Roman" w:eastAsia="宋体" w:cs="Times New Roman"/>
      <w:sz w:val="18"/>
      <w:szCs w:val="18"/>
    </w:rPr>
  </w:style>
  <w:style w:type="character" w:customStyle="1" w:styleId="19">
    <w:name w:val="页眉 字符"/>
    <w:basedOn w:val="12"/>
    <w:link w:val="8"/>
    <w:qFormat/>
    <w:uiPriority w:val="99"/>
    <w:rPr>
      <w:rFonts w:ascii="Times New Roman" w:hAnsi="Times New Roman" w:eastAsia="宋体" w:cs="Times New Roman"/>
      <w:sz w:val="18"/>
      <w:szCs w:val="18"/>
    </w:rPr>
  </w:style>
  <w:style w:type="character" w:customStyle="1" w:styleId="20">
    <w:name w:val="页脚 字符"/>
    <w:basedOn w:val="12"/>
    <w:link w:val="7"/>
    <w:qFormat/>
    <w:uiPriority w:val="99"/>
    <w:rPr>
      <w:rFonts w:ascii="Times New Roman" w:hAnsi="Times New Roman" w:eastAsia="宋体" w:cs="Times New Roman"/>
      <w:sz w:val="18"/>
      <w:szCs w:val="18"/>
    </w:rPr>
  </w:style>
  <w:style w:type="character" w:customStyle="1" w:styleId="21">
    <w:name w:val="批注主题 字符"/>
    <w:basedOn w:val="17"/>
    <w:link w:val="9"/>
    <w:semiHidden/>
    <w:qFormat/>
    <w:uiPriority w:val="99"/>
    <w:rPr>
      <w:rFonts w:ascii="Times New Roman" w:hAnsi="Times New Roman" w:eastAsia="宋体" w:cs="Times New Roman"/>
      <w:b/>
      <w:bCs/>
      <w:szCs w:val="21"/>
    </w:rPr>
  </w:style>
  <w:style w:type="character" w:customStyle="1" w:styleId="22">
    <w:name w:val="未处理的提及1"/>
    <w:basedOn w:val="12"/>
    <w:semiHidden/>
    <w:unhideWhenUsed/>
    <w:qFormat/>
    <w:uiPriority w:val="99"/>
    <w:rPr>
      <w:color w:val="605E5C"/>
      <w:shd w:val="clear" w:color="auto" w:fill="E1DFDD"/>
    </w:rPr>
  </w:style>
  <w:style w:type="paragraph" w:styleId="23">
    <w:name w:val="List Paragraph"/>
    <w:basedOn w:val="1"/>
    <w:link w:val="24"/>
    <w:qFormat/>
    <w:uiPriority w:val="34"/>
    <w:pPr>
      <w:ind w:firstLine="420" w:firstLineChars="200"/>
    </w:pPr>
  </w:style>
  <w:style w:type="character" w:customStyle="1" w:styleId="24">
    <w:name w:val="列表段落 字符"/>
    <w:link w:val="23"/>
    <w:qFormat/>
    <w:uiPriority w:val="34"/>
    <w:rPr>
      <w:kern w:val="2"/>
      <w:sz w:val="21"/>
      <w:szCs w:val="21"/>
    </w:rPr>
  </w:style>
  <w:style w:type="character" w:customStyle="1" w:styleId="25">
    <w:name w:val="未处理的提及2"/>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3</Pages>
  <Words>1016</Words>
  <Characters>1261</Characters>
  <Lines>13</Lines>
  <Paragraphs>3</Paragraphs>
  <TotalTime>4</TotalTime>
  <ScaleCrop>false</ScaleCrop>
  <LinksUpToDate>false</LinksUpToDate>
  <CharactersWithSpaces>1273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2020-07-31T18:45:00Z</dcterms:created>
  <dc:creator>魏炫</dc:creator>
  <cp:lastModifiedBy>rsj</cp:lastModifiedBy>
  <dcterms:modified xsi:type="dcterms:W3CDTF">2023-12-11T15:54:31Z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35B48894556E4C158175E5AD068EA81E</vt:lpwstr>
  </property>
</Properties>
</file>