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全国翻译硕士专业学位（</w:t>
      </w:r>
      <w:r>
        <w:rPr>
          <w:rFonts w:eastAsia="方正小标宋简体"/>
          <w:sz w:val="36"/>
          <w:szCs w:val="36"/>
        </w:rPr>
        <w:t>MTI）教育试点单位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259所）</w:t>
      </w:r>
      <w:bookmarkStart w:id="0" w:name="_GoBack"/>
      <w:bookmarkEnd w:id="0"/>
    </w:p>
    <w:tbl>
      <w:tblPr>
        <w:tblStyle w:val="3"/>
        <w:tblW w:w="10207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1701"/>
        <w:gridCol w:w="711"/>
        <w:gridCol w:w="1699"/>
        <w:gridCol w:w="708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战略支援部队信息工程大学洛阳校区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华北水利水电大学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国防科技大学国际关系学院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8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市人力资源保障局 郭清发</cp:lastModifiedBy>
  <dcterms:modified xsi:type="dcterms:W3CDTF">2021-09-03T08:41:55Z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