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color w:val="auto"/>
          <w:sz w:val="32"/>
          <w:szCs w:val="32"/>
          <w:highlight w:val="none"/>
        </w:rPr>
      </w:pPr>
      <w:r>
        <w:rPr>
          <w:rFonts w:hint="eastAsia" w:ascii="华文中宋" w:hAnsi="华文中宋" w:eastAsia="华文中宋"/>
          <w:color w:val="auto"/>
          <w:sz w:val="32"/>
          <w:szCs w:val="32"/>
          <w:highlight w:val="none"/>
          <w:lang w:eastAsia="zh-CN"/>
        </w:rPr>
        <w:t>深圳市人力资源和社会保障局全国根治欠薪线索反映平台欠薪线索办理服务项目</w:t>
      </w:r>
      <w:r>
        <w:rPr>
          <w:rFonts w:hint="eastAsia" w:ascii="华文中宋" w:hAnsi="华文中宋" w:eastAsia="华文中宋"/>
          <w:color w:val="auto"/>
          <w:sz w:val="32"/>
          <w:szCs w:val="32"/>
          <w:highlight w:val="none"/>
        </w:rPr>
        <w:t>中标（成交）结果公示</w:t>
      </w:r>
    </w:p>
    <w:p>
      <w:pPr>
        <w:ind w:left="42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一、项目编号：</w:t>
      </w:r>
      <w:r>
        <w:rPr>
          <w:rFonts w:hint="eastAsia" w:ascii="仿宋" w:hAnsi="仿宋" w:eastAsia="仿宋"/>
          <w:color w:val="auto"/>
          <w:sz w:val="28"/>
          <w:szCs w:val="28"/>
          <w:highlight w:val="none"/>
          <w:lang w:eastAsia="zh-CN"/>
        </w:rPr>
        <w:t>CLF0123SZ27QY52A</w:t>
      </w:r>
    </w:p>
    <w:p>
      <w:pPr>
        <w:ind w:left="420"/>
        <w:rPr>
          <w:rFonts w:hint="eastAsia" w:ascii="仿宋" w:hAnsi="仿宋" w:eastAsia="仿宋"/>
          <w:color w:val="auto"/>
          <w:sz w:val="28"/>
          <w:szCs w:val="28"/>
          <w:highlight w:val="none"/>
          <w:u w:val="single"/>
          <w:lang w:eastAsia="zh-CN"/>
        </w:rPr>
      </w:pPr>
      <w:r>
        <w:rPr>
          <w:rFonts w:hint="eastAsia" w:ascii="仿宋" w:hAnsi="仿宋" w:eastAsia="仿宋"/>
          <w:color w:val="auto"/>
          <w:sz w:val="28"/>
          <w:szCs w:val="28"/>
          <w:highlight w:val="none"/>
        </w:rPr>
        <w:t>二、项目名称：</w:t>
      </w:r>
      <w:r>
        <w:rPr>
          <w:rFonts w:hint="eastAsia" w:ascii="仿宋" w:hAnsi="仿宋" w:eastAsia="仿宋"/>
          <w:color w:val="auto"/>
          <w:sz w:val="28"/>
          <w:szCs w:val="28"/>
          <w:highlight w:val="none"/>
          <w:lang w:eastAsia="zh-CN"/>
        </w:rPr>
        <w:t>全国根治欠薪线索反映平台欠薪线索办理服务项目</w:t>
      </w:r>
    </w:p>
    <w:p>
      <w:pPr>
        <w:ind w:left="420"/>
        <w:rPr>
          <w:rFonts w:ascii="仿宋" w:hAnsi="仿宋" w:eastAsia="仿宋"/>
          <w:color w:val="auto"/>
          <w:sz w:val="28"/>
          <w:szCs w:val="28"/>
          <w:highlight w:val="none"/>
        </w:rPr>
      </w:pPr>
      <w:r>
        <w:rPr>
          <w:rFonts w:hint="eastAsia" w:ascii="仿宋" w:hAnsi="仿宋" w:eastAsia="仿宋"/>
          <w:color w:val="auto"/>
          <w:sz w:val="28"/>
          <w:szCs w:val="28"/>
          <w:highlight w:val="none"/>
        </w:rPr>
        <w:t>三、投标供应商名称及报价：</w:t>
      </w:r>
    </w:p>
    <w:tbl>
      <w:tblPr>
        <w:tblStyle w:val="11"/>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0"/>
        <w:gridCol w:w="1950"/>
        <w:gridCol w:w="1341"/>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800" w:type="dxa"/>
            <w:vAlign w:val="center"/>
          </w:tcPr>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投标供应商名称</w:t>
            </w:r>
          </w:p>
        </w:tc>
        <w:tc>
          <w:tcPr>
            <w:tcW w:w="1950" w:type="dxa"/>
          </w:tcPr>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投标报价</w:t>
            </w:r>
          </w:p>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（人民币 元）</w:t>
            </w:r>
          </w:p>
        </w:tc>
        <w:tc>
          <w:tcPr>
            <w:tcW w:w="1341" w:type="dxa"/>
          </w:tcPr>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资格性审查结果</w:t>
            </w:r>
          </w:p>
        </w:tc>
        <w:tc>
          <w:tcPr>
            <w:tcW w:w="1469" w:type="dxa"/>
          </w:tcPr>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符合性审查结果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800" w:type="dxa"/>
            <w:vAlign w:val="center"/>
          </w:tcPr>
          <w:p>
            <w:pPr>
              <w:jc w:val="cente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深圳乐仕达人才发展有限公司</w:t>
            </w:r>
          </w:p>
        </w:tc>
        <w:tc>
          <w:tcPr>
            <w:tcW w:w="1950" w:type="dxa"/>
            <w:vAlign w:val="center"/>
          </w:tcPr>
          <w:p>
            <w:pPr>
              <w:jc w:val="cente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 xml:space="preserve">385,336.25 </w:t>
            </w:r>
          </w:p>
        </w:tc>
        <w:tc>
          <w:tcPr>
            <w:tcW w:w="1341" w:type="dxa"/>
          </w:tcPr>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c>
          <w:tcPr>
            <w:tcW w:w="1469" w:type="dxa"/>
          </w:tcPr>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800" w:type="dxa"/>
            <w:vAlign w:val="center"/>
          </w:tcPr>
          <w:p>
            <w:pPr>
              <w:jc w:val="cente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深圳市壹才实业有限公司</w:t>
            </w:r>
          </w:p>
        </w:tc>
        <w:tc>
          <w:tcPr>
            <w:tcW w:w="1950" w:type="dxa"/>
            <w:vAlign w:val="center"/>
          </w:tcPr>
          <w:p>
            <w:pPr>
              <w:jc w:val="cente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 xml:space="preserve">385,336.25 </w:t>
            </w:r>
          </w:p>
        </w:tc>
        <w:tc>
          <w:tcPr>
            <w:tcW w:w="1341" w:type="dxa"/>
          </w:tcPr>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c>
          <w:tcPr>
            <w:tcW w:w="1469" w:type="dxa"/>
          </w:tcPr>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800" w:type="dxa"/>
            <w:vAlign w:val="center"/>
          </w:tcPr>
          <w:p>
            <w:pPr>
              <w:jc w:val="cente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深圳桑博人才集团有限公司</w:t>
            </w:r>
          </w:p>
        </w:tc>
        <w:tc>
          <w:tcPr>
            <w:tcW w:w="1950" w:type="dxa"/>
            <w:vAlign w:val="center"/>
          </w:tcPr>
          <w:p>
            <w:pPr>
              <w:jc w:val="cente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 xml:space="preserve">384,336.25 </w:t>
            </w:r>
          </w:p>
        </w:tc>
        <w:tc>
          <w:tcPr>
            <w:tcW w:w="1341" w:type="dxa"/>
          </w:tcPr>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c>
          <w:tcPr>
            <w:tcW w:w="1469" w:type="dxa"/>
          </w:tcPr>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800" w:type="dxa"/>
            <w:vAlign w:val="center"/>
          </w:tcPr>
          <w:p>
            <w:pPr>
              <w:jc w:val="cente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深业智联（深圳）发展有限公司</w:t>
            </w:r>
          </w:p>
        </w:tc>
        <w:tc>
          <w:tcPr>
            <w:tcW w:w="1950" w:type="dxa"/>
            <w:vAlign w:val="center"/>
          </w:tcPr>
          <w:p>
            <w:pPr>
              <w:jc w:val="cente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 xml:space="preserve">383,000.00 </w:t>
            </w:r>
          </w:p>
        </w:tc>
        <w:tc>
          <w:tcPr>
            <w:tcW w:w="1341" w:type="dxa"/>
            <w:vAlign w:val="top"/>
          </w:tcPr>
          <w:p>
            <w:pPr>
              <w:jc w:val="cente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c>
          <w:tcPr>
            <w:tcW w:w="1469" w:type="dxa"/>
            <w:vAlign w:val="top"/>
          </w:tcPr>
          <w:p>
            <w:pPr>
              <w:jc w:val="cente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r>
    </w:tbl>
    <w:p>
      <w:pPr>
        <w:ind w:left="420"/>
        <w:rPr>
          <w:rFonts w:ascii="仿宋" w:hAnsi="仿宋" w:eastAsia="仿宋"/>
          <w:color w:val="auto"/>
          <w:sz w:val="28"/>
          <w:szCs w:val="28"/>
          <w:highlight w:val="none"/>
        </w:rPr>
      </w:pPr>
      <w:r>
        <w:rPr>
          <w:rFonts w:hint="eastAsia" w:ascii="仿宋" w:hAnsi="仿宋" w:eastAsia="仿宋"/>
          <w:color w:val="auto"/>
          <w:sz w:val="28"/>
          <w:szCs w:val="28"/>
          <w:highlight w:val="none"/>
        </w:rPr>
        <w:t>四、候选中标供应商名单：深圳桑博人才集团有限公司</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深</w:t>
      </w:r>
      <w:r>
        <w:rPr>
          <w:rFonts w:hint="eastAsia" w:ascii="仿宋" w:hAnsi="仿宋" w:eastAsia="仿宋"/>
          <w:color w:val="auto"/>
          <w:sz w:val="28"/>
          <w:szCs w:val="28"/>
          <w:highlight w:val="none"/>
        </w:rPr>
        <w:t>业智联（深圳）发展有限公司</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深圳乐仕达人才发展有限公司</w:t>
      </w:r>
    </w:p>
    <w:p>
      <w:pPr>
        <w:ind w:left="42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五、中标（成交）信息</w:t>
      </w:r>
      <w:r>
        <w:rPr>
          <w:rFonts w:hint="eastAsia" w:ascii="仿宋" w:hAnsi="仿宋" w:eastAsia="仿宋"/>
          <w:color w:val="auto"/>
          <w:sz w:val="28"/>
          <w:szCs w:val="28"/>
          <w:highlight w:val="none"/>
          <w:lang w:val="en-US" w:eastAsia="zh-CN"/>
        </w:rPr>
        <w:tab/>
      </w:r>
    </w:p>
    <w:p>
      <w:pPr>
        <w:ind w:left="0" w:leftChars="0" w:firstLine="439" w:firstLineChars="157"/>
        <w:rPr>
          <w:rFonts w:ascii="仿宋" w:hAnsi="仿宋" w:eastAsia="仿宋"/>
          <w:color w:val="auto"/>
          <w:sz w:val="28"/>
          <w:szCs w:val="28"/>
          <w:highlight w:val="none"/>
        </w:rPr>
      </w:pPr>
      <w:r>
        <w:rPr>
          <w:rFonts w:hint="eastAsia" w:ascii="仿宋" w:hAnsi="仿宋" w:eastAsia="仿宋"/>
          <w:color w:val="auto"/>
          <w:sz w:val="28"/>
          <w:szCs w:val="28"/>
          <w:highlight w:val="none"/>
        </w:rPr>
        <w:t>供应商名称：深圳桑博人才集团有限公司</w:t>
      </w:r>
    </w:p>
    <w:p>
      <w:pPr>
        <w:ind w:left="0" w:leftChars="0" w:firstLine="439" w:firstLineChars="157"/>
        <w:rPr>
          <w:rFonts w:ascii="仿宋" w:hAnsi="仿宋" w:eastAsia="仿宋"/>
          <w:color w:val="auto"/>
          <w:sz w:val="28"/>
          <w:szCs w:val="28"/>
          <w:highlight w:val="none"/>
        </w:rPr>
      </w:pPr>
      <w:r>
        <w:rPr>
          <w:rFonts w:hint="eastAsia" w:ascii="仿宋" w:hAnsi="仿宋" w:eastAsia="仿宋"/>
          <w:color w:val="auto"/>
          <w:sz w:val="28"/>
          <w:szCs w:val="28"/>
          <w:highlight w:val="none"/>
        </w:rPr>
        <w:t>供应商地址：深圳市龙岗区坂田街道雪岗路2018号天安云谷一期3栋D座706</w:t>
      </w:r>
    </w:p>
    <w:p>
      <w:pPr>
        <w:ind w:left="0" w:leftChars="0" w:firstLine="439" w:firstLineChars="157"/>
        <w:rPr>
          <w:rFonts w:hint="eastAsia" w:ascii="仿宋" w:hAnsi="仿宋" w:eastAsia="仿宋"/>
          <w:color w:val="auto"/>
          <w:sz w:val="28"/>
          <w:szCs w:val="28"/>
          <w:highlight w:val="none"/>
          <w:u w:val="single"/>
        </w:rPr>
      </w:pPr>
      <w:r>
        <w:rPr>
          <w:rFonts w:hint="eastAsia" w:ascii="仿宋" w:hAnsi="仿宋" w:eastAsia="仿宋"/>
          <w:color w:val="auto"/>
          <w:sz w:val="28"/>
          <w:szCs w:val="28"/>
          <w:highlight w:val="none"/>
        </w:rPr>
        <w:t>中标（成交）金额：人民币</w:t>
      </w:r>
      <w:r>
        <w:rPr>
          <w:rFonts w:hint="eastAsia" w:ascii="仿宋" w:hAnsi="仿宋" w:eastAsia="仿宋"/>
          <w:color w:val="auto"/>
          <w:kern w:val="0"/>
          <w:sz w:val="28"/>
          <w:szCs w:val="28"/>
          <w:highlight w:val="none"/>
          <w:lang w:val="en-US" w:eastAsia="zh-CN"/>
        </w:rPr>
        <w:t>38.433625</w:t>
      </w:r>
      <w:r>
        <w:rPr>
          <w:rFonts w:hint="eastAsia" w:ascii="仿宋" w:hAnsi="仿宋" w:eastAsia="仿宋"/>
          <w:color w:val="auto"/>
          <w:sz w:val="28"/>
          <w:szCs w:val="28"/>
          <w:highlight w:val="none"/>
        </w:rPr>
        <w:t>万元</w:t>
      </w:r>
    </w:p>
    <w:p>
      <w:pPr>
        <w:ind w:left="0" w:leftChars="0" w:firstLine="439" w:firstLineChars="157"/>
        <w:rPr>
          <w:rFonts w:hint="eastAsia" w:ascii="仿宋" w:hAnsi="仿宋" w:eastAsia="仿宋"/>
          <w:color w:val="auto"/>
          <w:sz w:val="28"/>
          <w:szCs w:val="28"/>
          <w:highlight w:val="none"/>
          <w:shd w:val="clear" w:color="FFFFFF" w:fill="D9D9D9"/>
          <w:lang w:val="en-US" w:eastAsia="zh-CN"/>
        </w:rPr>
      </w:pPr>
      <w:r>
        <w:rPr>
          <w:rFonts w:hint="eastAsia" w:ascii="仿宋" w:hAnsi="仿宋" w:eastAsia="仿宋"/>
          <w:color w:val="auto"/>
          <w:sz w:val="28"/>
          <w:szCs w:val="28"/>
          <w:highlight w:val="none"/>
          <w:lang w:val="en-US" w:eastAsia="zh-CN"/>
        </w:rPr>
        <w:t>评审总得分：99.33分</w:t>
      </w:r>
    </w:p>
    <w:p>
      <w:pPr>
        <w:ind w:left="420"/>
        <w:rPr>
          <w:rFonts w:ascii="仿宋" w:hAnsi="仿宋" w:eastAsia="仿宋"/>
          <w:color w:val="auto"/>
          <w:sz w:val="28"/>
          <w:szCs w:val="28"/>
          <w:highlight w:val="none"/>
        </w:rPr>
      </w:pPr>
      <w:r>
        <w:rPr>
          <w:rFonts w:hint="eastAsia" w:ascii="仿宋" w:hAnsi="仿宋" w:eastAsia="仿宋"/>
          <w:color w:val="auto"/>
          <w:sz w:val="28"/>
          <w:szCs w:val="28"/>
          <w:highlight w:val="none"/>
        </w:rPr>
        <w:t>六、主要标的信息</w:t>
      </w:r>
    </w:p>
    <w:tbl>
      <w:tblPr>
        <w:tblStyle w:val="11"/>
        <w:tblW w:w="7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2" w:type="dxa"/>
          </w:tcPr>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2" w:type="dxa"/>
          </w:tcPr>
          <w:p>
            <w:pP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名称：全国根治欠薪线索反映平台欠薪线索办理服务</w:t>
            </w:r>
          </w:p>
          <w:p>
            <w:pP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服务范围：</w:t>
            </w:r>
            <w:r>
              <w:rPr>
                <w:rFonts w:hint="eastAsia" w:ascii="仿宋" w:hAnsi="仿宋" w:eastAsia="仿宋"/>
                <w:color w:val="auto"/>
                <w:kern w:val="0"/>
                <w:sz w:val="28"/>
                <w:szCs w:val="28"/>
                <w:highlight w:val="none"/>
                <w:lang w:eastAsia="zh-CN"/>
              </w:rPr>
              <w:t>详见招标文件</w:t>
            </w:r>
          </w:p>
          <w:p>
            <w:pPr>
              <w:rPr>
                <w:rFonts w:ascii="仿宋" w:hAnsi="仿宋" w:eastAsia="仿宋"/>
                <w:color w:val="auto"/>
                <w:kern w:val="0"/>
                <w:sz w:val="28"/>
                <w:szCs w:val="28"/>
                <w:highlight w:val="none"/>
                <w:u w:val="single"/>
              </w:rPr>
            </w:pPr>
            <w:r>
              <w:rPr>
                <w:rFonts w:hint="eastAsia" w:ascii="仿宋" w:hAnsi="仿宋" w:eastAsia="仿宋"/>
                <w:color w:val="auto"/>
                <w:kern w:val="0"/>
                <w:sz w:val="28"/>
                <w:szCs w:val="28"/>
                <w:highlight w:val="none"/>
              </w:rPr>
              <w:t>服务要求：</w:t>
            </w:r>
            <w:r>
              <w:rPr>
                <w:rFonts w:hint="eastAsia" w:ascii="仿宋" w:hAnsi="仿宋" w:eastAsia="仿宋"/>
                <w:color w:val="auto"/>
                <w:kern w:val="0"/>
                <w:sz w:val="28"/>
                <w:szCs w:val="28"/>
                <w:highlight w:val="none"/>
                <w:lang w:eastAsia="zh-CN"/>
              </w:rPr>
              <w:t>详见招标文件</w:t>
            </w:r>
          </w:p>
          <w:p>
            <w:pPr>
              <w:rPr>
                <w:rFonts w:ascii="仿宋" w:hAnsi="仿宋" w:eastAsia="仿宋"/>
                <w:color w:val="auto"/>
                <w:kern w:val="0"/>
                <w:sz w:val="28"/>
                <w:szCs w:val="28"/>
                <w:highlight w:val="none"/>
                <w:u w:val="single"/>
              </w:rPr>
            </w:pPr>
            <w:r>
              <w:rPr>
                <w:rFonts w:hint="eastAsia" w:ascii="仿宋" w:hAnsi="仿宋" w:eastAsia="仿宋"/>
                <w:color w:val="auto"/>
                <w:kern w:val="0"/>
                <w:sz w:val="28"/>
                <w:szCs w:val="28"/>
                <w:highlight w:val="none"/>
              </w:rPr>
              <w:t>服务时间：</w:t>
            </w:r>
            <w:r>
              <w:rPr>
                <w:rFonts w:hint="eastAsia" w:ascii="仿宋" w:hAnsi="仿宋" w:eastAsia="仿宋"/>
                <w:color w:val="auto"/>
                <w:kern w:val="0"/>
                <w:sz w:val="28"/>
                <w:szCs w:val="28"/>
                <w:highlight w:val="none"/>
                <w:lang w:eastAsia="zh-CN"/>
              </w:rPr>
              <w:t>详见招标文件</w:t>
            </w:r>
          </w:p>
          <w:p>
            <w:pP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服务标准：</w:t>
            </w:r>
            <w:r>
              <w:rPr>
                <w:rFonts w:hint="eastAsia" w:ascii="仿宋" w:hAnsi="仿宋" w:eastAsia="仿宋"/>
                <w:color w:val="auto"/>
                <w:kern w:val="0"/>
                <w:sz w:val="28"/>
                <w:szCs w:val="28"/>
                <w:highlight w:val="none"/>
                <w:lang w:eastAsia="zh-CN"/>
              </w:rPr>
              <w:t>详见招标文件</w:t>
            </w:r>
          </w:p>
        </w:tc>
      </w:tr>
    </w:tbl>
    <w:p>
      <w:pPr>
        <w:numPr>
          <w:ilvl w:val="0"/>
          <w:numId w:val="1"/>
        </w:numPr>
        <w:ind w:left="42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评审委员会成员名单：阮秉彝</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刘晋、袁小红、王先前、郑海林</w:t>
      </w:r>
    </w:p>
    <w:p>
      <w:pPr>
        <w:keepNext w:val="0"/>
        <w:keepLines w:val="0"/>
        <w:pageBreakBefore w:val="0"/>
        <w:widowControl w:val="0"/>
        <w:kinsoku/>
        <w:wordWrap/>
        <w:overflowPunct/>
        <w:topLinePunct w:val="0"/>
        <w:autoSpaceDE/>
        <w:autoSpaceDN/>
        <w:bidi w:val="0"/>
        <w:adjustRightInd/>
        <w:snapToGrid/>
        <w:ind w:left="420" w:leftChars="0" w:firstLine="39" w:firstLineChars="14"/>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八、代理服务收费标准及金额：按《深圳市财政委员会关于规范深圳市社会采购代理机构管理有关事项的补充通知》（深财购〔2018〕27号）代理费用参考标准规定的“服务类”计算收取</w:t>
      </w:r>
      <w:r>
        <w:rPr>
          <w:rFonts w:hint="eastAsia" w:ascii="仿宋" w:hAnsi="仿宋" w:eastAsia="仿宋" w:cs="宋体"/>
          <w:color w:val="auto"/>
          <w:kern w:val="0"/>
          <w:sz w:val="28"/>
          <w:szCs w:val="28"/>
          <w:highlight w:val="none"/>
        </w:rPr>
        <w:t>；人民币</w:t>
      </w:r>
      <w:r>
        <w:rPr>
          <w:rFonts w:hint="eastAsia" w:ascii="仿宋" w:hAnsi="仿宋" w:eastAsia="仿宋" w:cs="宋体"/>
          <w:color w:val="auto"/>
          <w:kern w:val="0"/>
          <w:sz w:val="28"/>
          <w:szCs w:val="28"/>
          <w:highlight w:val="none"/>
          <w:lang w:val="en-US" w:eastAsia="zh-CN"/>
        </w:rPr>
        <w:t>0.</w:t>
      </w:r>
      <w:r>
        <w:rPr>
          <w:rFonts w:hint="eastAsia" w:ascii="仿宋" w:hAnsi="仿宋" w:eastAsia="仿宋" w:cs="宋体"/>
          <w:color w:val="auto"/>
          <w:kern w:val="0"/>
          <w:sz w:val="28"/>
          <w:szCs w:val="28"/>
          <w:highlight w:val="none"/>
        </w:rPr>
        <w:t>5765万元。</w:t>
      </w:r>
    </w:p>
    <w:p>
      <w:pPr>
        <w:ind w:left="420"/>
        <w:rPr>
          <w:rFonts w:ascii="仿宋" w:hAnsi="仿宋" w:eastAsia="仿宋"/>
          <w:color w:val="auto"/>
          <w:sz w:val="28"/>
          <w:szCs w:val="28"/>
          <w:highlight w:val="none"/>
        </w:rPr>
      </w:pPr>
      <w:r>
        <w:rPr>
          <w:rFonts w:hint="eastAsia" w:ascii="仿宋" w:hAnsi="仿宋" w:eastAsia="仿宋"/>
          <w:color w:val="auto"/>
          <w:sz w:val="28"/>
          <w:szCs w:val="28"/>
          <w:highlight w:val="none"/>
        </w:rPr>
        <w:t>九、公示期限</w:t>
      </w:r>
    </w:p>
    <w:p>
      <w:pPr>
        <w:ind w:firstLine="560" w:firstLineChars="200"/>
        <w:rPr>
          <w:rFonts w:ascii="仿宋" w:hAnsi="仿宋" w:eastAsia="仿宋" w:cs="宋体"/>
          <w:color w:val="auto"/>
          <w:kern w:val="0"/>
          <w:sz w:val="28"/>
          <w:szCs w:val="28"/>
          <w:highlight w:val="none"/>
        </w:rPr>
      </w:pPr>
      <w:r>
        <w:rPr>
          <w:rFonts w:hint="eastAsia" w:ascii="仿宋" w:hAnsi="仿宋" w:eastAsia="仿宋"/>
          <w:color w:val="auto"/>
          <w:sz w:val="28"/>
          <w:szCs w:val="28"/>
          <w:highlight w:val="none"/>
          <w:u w:val="none"/>
          <w:lang w:val="en-US" w:eastAsia="zh-CN"/>
        </w:rPr>
        <w:t>2024</w:t>
      </w:r>
      <w:r>
        <w:rPr>
          <w:rFonts w:hint="eastAsia" w:ascii="仿宋" w:hAnsi="仿宋" w:eastAsia="仿宋"/>
          <w:color w:val="auto"/>
          <w:sz w:val="28"/>
          <w:szCs w:val="28"/>
          <w:highlight w:val="none"/>
          <w:u w:val="none"/>
        </w:rPr>
        <w:t>年</w:t>
      </w:r>
      <w:r>
        <w:rPr>
          <w:rFonts w:hint="eastAsia" w:ascii="仿宋" w:hAnsi="仿宋" w:eastAsia="仿宋"/>
          <w:color w:val="auto"/>
          <w:sz w:val="28"/>
          <w:szCs w:val="28"/>
          <w:highlight w:val="none"/>
          <w:u w:val="none"/>
          <w:lang w:val="en-US" w:eastAsia="zh-CN"/>
        </w:rPr>
        <w:t>5</w:t>
      </w:r>
      <w:r>
        <w:rPr>
          <w:rFonts w:hint="eastAsia" w:ascii="仿宋" w:hAnsi="仿宋" w:eastAsia="仿宋"/>
          <w:color w:val="auto"/>
          <w:sz w:val="28"/>
          <w:szCs w:val="28"/>
          <w:highlight w:val="none"/>
          <w:u w:val="none"/>
        </w:rPr>
        <w:t>月</w:t>
      </w:r>
      <w:r>
        <w:rPr>
          <w:rFonts w:hint="eastAsia" w:ascii="仿宋" w:hAnsi="仿宋" w:eastAsia="仿宋"/>
          <w:color w:val="auto"/>
          <w:sz w:val="28"/>
          <w:szCs w:val="28"/>
          <w:highlight w:val="none"/>
          <w:u w:val="none"/>
          <w:lang w:val="en-US" w:eastAsia="zh-CN"/>
        </w:rPr>
        <w:t>14</w:t>
      </w:r>
      <w:r>
        <w:rPr>
          <w:rFonts w:hint="eastAsia" w:ascii="仿宋" w:hAnsi="仿宋" w:eastAsia="仿宋"/>
          <w:color w:val="auto"/>
          <w:sz w:val="28"/>
          <w:szCs w:val="28"/>
          <w:highlight w:val="none"/>
          <w:u w:val="none"/>
        </w:rPr>
        <w:t>日至</w:t>
      </w:r>
      <w:r>
        <w:rPr>
          <w:rFonts w:hint="eastAsia" w:ascii="仿宋" w:hAnsi="仿宋" w:eastAsia="仿宋"/>
          <w:color w:val="auto"/>
          <w:sz w:val="28"/>
          <w:szCs w:val="28"/>
          <w:highlight w:val="none"/>
          <w:u w:val="none"/>
          <w:lang w:val="en-US" w:eastAsia="zh-CN"/>
        </w:rPr>
        <w:t>2024</w:t>
      </w:r>
      <w:r>
        <w:rPr>
          <w:rFonts w:hint="eastAsia" w:ascii="仿宋" w:hAnsi="仿宋" w:eastAsia="仿宋"/>
          <w:color w:val="auto"/>
          <w:sz w:val="28"/>
          <w:szCs w:val="28"/>
          <w:highlight w:val="none"/>
          <w:u w:val="none"/>
        </w:rPr>
        <w:t>年</w:t>
      </w:r>
      <w:r>
        <w:rPr>
          <w:rFonts w:hint="eastAsia" w:ascii="仿宋" w:hAnsi="仿宋" w:eastAsia="仿宋"/>
          <w:color w:val="auto"/>
          <w:sz w:val="28"/>
          <w:szCs w:val="28"/>
          <w:highlight w:val="none"/>
          <w:u w:val="none"/>
          <w:lang w:val="en-US" w:eastAsia="zh-CN"/>
        </w:rPr>
        <w:t>5</w:t>
      </w:r>
      <w:r>
        <w:rPr>
          <w:rFonts w:hint="eastAsia" w:ascii="仿宋" w:hAnsi="仿宋" w:eastAsia="仿宋"/>
          <w:color w:val="auto"/>
          <w:sz w:val="28"/>
          <w:szCs w:val="28"/>
          <w:highlight w:val="none"/>
          <w:u w:val="none"/>
        </w:rPr>
        <w:t>月</w:t>
      </w:r>
      <w:r>
        <w:rPr>
          <w:rFonts w:hint="eastAsia" w:ascii="仿宋" w:hAnsi="仿宋" w:eastAsia="仿宋"/>
          <w:color w:val="auto"/>
          <w:sz w:val="28"/>
          <w:szCs w:val="28"/>
          <w:highlight w:val="none"/>
          <w:u w:val="none"/>
          <w:lang w:val="en-US" w:eastAsia="zh-CN"/>
        </w:rPr>
        <w:t>16</w:t>
      </w:r>
      <w:r>
        <w:rPr>
          <w:rFonts w:hint="eastAsia" w:ascii="仿宋" w:hAnsi="仿宋" w:eastAsia="仿宋"/>
          <w:color w:val="auto"/>
          <w:sz w:val="28"/>
          <w:szCs w:val="28"/>
          <w:highlight w:val="none"/>
          <w:u w:val="none"/>
        </w:rPr>
        <w:t>日</w:t>
      </w:r>
      <w:r>
        <w:rPr>
          <w:rFonts w:hint="eastAsia" w:ascii="仿宋" w:hAnsi="仿宋" w:eastAsia="仿宋" w:cs="宋体"/>
          <w:color w:val="auto"/>
          <w:kern w:val="0"/>
          <w:sz w:val="28"/>
          <w:szCs w:val="28"/>
          <w:highlight w:val="none"/>
        </w:rPr>
        <w:t>。</w:t>
      </w:r>
    </w:p>
    <w:p>
      <w:pPr>
        <w:ind w:left="4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十、其他补充事宜</w:t>
      </w:r>
    </w:p>
    <w:p>
      <w:pPr>
        <w:ind w:firstLine="280" w:firstLineChars="1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（一）供应商质疑</w:t>
      </w:r>
    </w:p>
    <w:p>
      <w:pPr>
        <w:widowControl/>
        <w:ind w:firstLine="560" w:firstLineChars="20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rPr>
        <w:t>供应商认为中标或者成交结果使自己的权益受到损害的</w:t>
      </w:r>
      <w:r>
        <w:rPr>
          <w:rFonts w:hint="eastAsia" w:ascii="仿宋" w:hAnsi="仿宋" w:eastAsia="仿宋"/>
          <w:color w:val="auto"/>
          <w:kern w:val="0"/>
          <w:sz w:val="28"/>
          <w:szCs w:val="28"/>
          <w:highlight w:val="none"/>
        </w:rPr>
        <w:t>，应当自本公告发布之日起七个工作日内</w:t>
      </w:r>
      <w:bookmarkStart w:id="0" w:name="_Hlk27380774"/>
      <w:r>
        <w:rPr>
          <w:rFonts w:hint="eastAsia" w:ascii="仿宋" w:hAnsi="仿宋" w:eastAsia="仿宋"/>
          <w:color w:val="auto"/>
          <w:kern w:val="0"/>
          <w:sz w:val="28"/>
          <w:szCs w:val="28"/>
          <w:highlight w:val="none"/>
        </w:rPr>
        <w:t>以书面形式向采联国际招标采购集团有限公司（或采购人）提出质疑，逾期将依法不予受理。</w:t>
      </w:r>
      <w:bookmarkEnd w:id="0"/>
    </w:p>
    <w:p>
      <w:pPr>
        <w:spacing w:line="360" w:lineRule="auto"/>
        <w:ind w:firstLine="280" w:firstLineChars="100"/>
        <w:rPr>
          <w:rFonts w:ascii="仿宋" w:hAnsi="仿宋" w:eastAsia="仿宋" w:cs="宋体"/>
          <w:color w:val="auto"/>
          <w:sz w:val="28"/>
          <w:szCs w:val="28"/>
          <w:highlight w:val="none"/>
        </w:rPr>
      </w:pPr>
      <w:r>
        <w:rPr>
          <w:rFonts w:hint="eastAsia" w:ascii="仿宋" w:hAnsi="仿宋" w:eastAsia="仿宋"/>
          <w:color w:val="auto"/>
          <w:kern w:val="0"/>
          <w:sz w:val="28"/>
          <w:szCs w:val="28"/>
          <w:highlight w:val="none"/>
        </w:rPr>
        <w:t>（二）</w:t>
      </w:r>
      <w:r>
        <w:rPr>
          <w:rFonts w:hint="eastAsia" w:ascii="仿宋" w:hAnsi="仿宋" w:eastAsia="仿宋" w:cs="宋体"/>
          <w:color w:val="auto"/>
          <w:sz w:val="28"/>
          <w:szCs w:val="28"/>
          <w:highlight w:val="none"/>
        </w:rPr>
        <w:t>本项目相关公告在以下媒体发布:</w:t>
      </w:r>
    </w:p>
    <w:p>
      <w:pPr>
        <w:widowControl/>
        <w:wordWrap w:val="0"/>
        <w:ind w:firstLine="560" w:firstLineChars="2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相关媒体：深圳公共资源交易中心网站（www.szzfcg.cn）、深圳市人力资源和社会保障局官网（http://hrss.sz.gov.cn/）、采购代理机构网站（www.chinapsp.cn）。相关公告在上述媒体上公布之日即视为有效送达，不再另行通知。</w:t>
      </w:r>
    </w:p>
    <w:p>
      <w:pPr>
        <w:ind w:left="42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十一、凡对本次公告内容提出询问，请按以下方式联系。</w:t>
      </w:r>
    </w:p>
    <w:p>
      <w:pPr>
        <w:adjustRightInd w:val="0"/>
        <w:snapToGrid w:val="0"/>
        <w:spacing w:line="360" w:lineRule="auto"/>
        <w:ind w:left="1121" w:leftChars="238" w:hanging="621" w:hangingChars="222"/>
        <w:jc w:val="left"/>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（一）采购人信息</w:t>
      </w:r>
    </w:p>
    <w:p>
      <w:pPr>
        <w:adjustRightInd w:val="0"/>
        <w:snapToGrid w:val="0"/>
        <w:spacing w:line="360" w:lineRule="auto"/>
        <w:ind w:left="1121" w:leftChars="238" w:hanging="621" w:hangingChars="222"/>
        <w:jc w:val="left"/>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名称：</w:t>
      </w:r>
      <w:r>
        <w:rPr>
          <w:rFonts w:hint="eastAsia" w:ascii="仿宋" w:hAnsi="仿宋" w:eastAsia="仿宋" w:cs="宋体"/>
          <w:bCs/>
          <w:color w:val="auto"/>
          <w:kern w:val="0"/>
          <w:sz w:val="28"/>
          <w:szCs w:val="28"/>
          <w:highlight w:val="none"/>
          <w:lang w:eastAsia="zh-CN"/>
        </w:rPr>
        <w:t>深圳市人力资源和社会保障局</w:t>
      </w:r>
    </w:p>
    <w:p>
      <w:pPr>
        <w:adjustRightInd w:val="0"/>
        <w:snapToGrid w:val="0"/>
        <w:spacing w:line="360" w:lineRule="auto"/>
        <w:ind w:left="1121" w:leftChars="238" w:hanging="621" w:hangingChars="222"/>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地址：</w:t>
      </w:r>
      <w:bookmarkStart w:id="1" w:name="_Toc28359009"/>
      <w:bookmarkStart w:id="2" w:name="_Toc28359086"/>
      <w:r>
        <w:rPr>
          <w:rFonts w:hint="eastAsia" w:ascii="仿宋" w:hAnsi="仿宋" w:eastAsia="仿宋"/>
          <w:color w:val="auto"/>
          <w:sz w:val="28"/>
          <w:szCs w:val="28"/>
          <w:highlight w:val="none"/>
        </w:rPr>
        <w:t>深圳市福田区深南大道8005号</w:t>
      </w:r>
    </w:p>
    <w:p>
      <w:pPr>
        <w:adjustRightInd w:val="0"/>
        <w:snapToGrid w:val="0"/>
        <w:spacing w:line="360" w:lineRule="auto"/>
        <w:ind w:left="1121" w:leftChars="238" w:hanging="621" w:hangingChars="222"/>
        <w:jc w:val="left"/>
        <w:rPr>
          <w:rFonts w:ascii="仿宋" w:hAnsi="仿宋" w:eastAsia="仿宋"/>
          <w:color w:val="auto"/>
          <w:sz w:val="28"/>
          <w:szCs w:val="28"/>
          <w:highlight w:val="none"/>
        </w:rPr>
      </w:pPr>
      <w:r>
        <w:rPr>
          <w:rFonts w:hint="eastAsia" w:ascii="仿宋" w:hAnsi="仿宋" w:eastAsia="仿宋" w:cs="宋体"/>
          <w:color w:val="auto"/>
          <w:sz w:val="28"/>
          <w:szCs w:val="28"/>
          <w:highlight w:val="none"/>
        </w:rPr>
        <w:t>（</w:t>
      </w:r>
      <w:r>
        <w:rPr>
          <w:rFonts w:hint="eastAsia" w:ascii="仿宋" w:hAnsi="仿宋" w:eastAsia="仿宋" w:cs="宋体"/>
          <w:color w:val="auto"/>
          <w:sz w:val="28"/>
          <w:szCs w:val="28"/>
          <w:highlight w:val="none"/>
          <w:lang w:eastAsia="zh-CN"/>
        </w:rPr>
        <w:t>二</w:t>
      </w:r>
      <w:r>
        <w:rPr>
          <w:rFonts w:hint="eastAsia" w:ascii="仿宋" w:hAnsi="仿宋" w:eastAsia="仿宋" w:cs="宋体"/>
          <w:color w:val="auto"/>
          <w:sz w:val="28"/>
          <w:szCs w:val="28"/>
          <w:highlight w:val="none"/>
        </w:rPr>
        <w:t>）采购代理机构</w:t>
      </w:r>
      <w:bookmarkEnd w:id="1"/>
      <w:bookmarkEnd w:id="2"/>
    </w:p>
    <w:p>
      <w:pPr>
        <w:adjustRightInd w:val="0"/>
        <w:snapToGrid w:val="0"/>
        <w:spacing w:line="360" w:lineRule="auto"/>
        <w:ind w:left="1121" w:leftChars="238" w:hanging="621" w:hangingChars="222"/>
        <w:rPr>
          <w:rFonts w:ascii="仿宋" w:hAnsi="仿宋" w:eastAsia="仿宋"/>
          <w:color w:val="auto"/>
          <w:sz w:val="28"/>
          <w:szCs w:val="28"/>
          <w:highlight w:val="none"/>
        </w:rPr>
      </w:pPr>
      <w:r>
        <w:rPr>
          <w:rFonts w:hint="eastAsia" w:ascii="仿宋" w:hAnsi="仿宋" w:eastAsia="仿宋"/>
          <w:color w:val="auto"/>
          <w:sz w:val="28"/>
          <w:szCs w:val="28"/>
          <w:highlight w:val="none"/>
        </w:rPr>
        <w:t>名称：</w:t>
      </w:r>
      <w:r>
        <w:rPr>
          <w:rFonts w:hint="eastAsia" w:ascii="仿宋" w:hAnsi="仿宋" w:eastAsia="仿宋" w:cs="宋体"/>
          <w:color w:val="auto"/>
          <w:sz w:val="28"/>
          <w:szCs w:val="28"/>
          <w:highlight w:val="none"/>
        </w:rPr>
        <w:t>采联国际招标采购集团有限公司</w:t>
      </w:r>
    </w:p>
    <w:p>
      <w:pPr>
        <w:adjustRightInd w:val="0"/>
        <w:snapToGrid w:val="0"/>
        <w:spacing w:line="360" w:lineRule="auto"/>
        <w:ind w:left="97" w:leftChars="46" w:firstLine="442" w:firstLineChars="158"/>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地址：深圳市福田区竹子林中国经贸大厦</w:t>
      </w:r>
      <w:bookmarkStart w:id="3" w:name="_Toc28359010"/>
      <w:bookmarkStart w:id="4" w:name="_Toc28359087"/>
      <w:r>
        <w:rPr>
          <w:rFonts w:hint="eastAsia" w:ascii="仿宋" w:hAnsi="仿宋" w:eastAsia="仿宋"/>
          <w:color w:val="auto"/>
          <w:sz w:val="28"/>
          <w:szCs w:val="28"/>
          <w:highlight w:val="none"/>
        </w:rPr>
        <w:t>10楼采联国际招标采购集团有限公司深圳分公司</w:t>
      </w:r>
    </w:p>
    <w:p>
      <w:pPr>
        <w:adjustRightInd w:val="0"/>
        <w:snapToGrid w:val="0"/>
        <w:spacing w:line="360" w:lineRule="auto"/>
        <w:ind w:left="1121" w:leftChars="238" w:hanging="621" w:hangingChars="222"/>
        <w:rPr>
          <w:rFonts w:ascii="仿宋" w:hAnsi="仿宋" w:eastAsia="仿宋"/>
          <w:color w:val="auto"/>
          <w:sz w:val="28"/>
          <w:szCs w:val="28"/>
          <w:highlight w:val="none"/>
          <w:u w:val="single"/>
        </w:rPr>
      </w:pPr>
      <w:r>
        <w:rPr>
          <w:rFonts w:hint="eastAsia" w:ascii="仿宋" w:hAnsi="仿宋" w:eastAsia="仿宋" w:cs="宋体"/>
          <w:color w:val="auto"/>
          <w:sz w:val="28"/>
          <w:szCs w:val="28"/>
          <w:highlight w:val="none"/>
        </w:rPr>
        <w:t>（</w:t>
      </w:r>
      <w:r>
        <w:rPr>
          <w:rFonts w:hint="eastAsia" w:ascii="仿宋" w:hAnsi="仿宋" w:eastAsia="仿宋" w:cs="宋体"/>
          <w:color w:val="auto"/>
          <w:sz w:val="28"/>
          <w:szCs w:val="28"/>
          <w:highlight w:val="none"/>
          <w:lang w:eastAsia="zh-CN"/>
        </w:rPr>
        <w:t>三</w:t>
      </w:r>
      <w:r>
        <w:rPr>
          <w:rFonts w:hint="eastAsia" w:ascii="仿宋" w:hAnsi="仿宋" w:eastAsia="仿宋" w:cs="宋体"/>
          <w:color w:val="auto"/>
          <w:sz w:val="28"/>
          <w:szCs w:val="28"/>
          <w:highlight w:val="none"/>
        </w:rPr>
        <w:t>）项目</w:t>
      </w:r>
      <w:r>
        <w:rPr>
          <w:rFonts w:ascii="仿宋" w:hAnsi="仿宋" w:eastAsia="仿宋" w:cs="宋体"/>
          <w:color w:val="auto"/>
          <w:sz w:val="28"/>
          <w:szCs w:val="28"/>
          <w:highlight w:val="none"/>
        </w:rPr>
        <w:t>联系方式</w:t>
      </w:r>
      <w:bookmarkEnd w:id="3"/>
      <w:bookmarkEnd w:id="4"/>
    </w:p>
    <w:p>
      <w:pPr>
        <w:pStyle w:val="5"/>
        <w:adjustRightInd w:val="0"/>
        <w:snapToGrid w:val="0"/>
        <w:spacing w:line="360" w:lineRule="auto"/>
        <w:ind w:left="1121" w:leftChars="238" w:hanging="621" w:hangingChars="222"/>
        <w:rPr>
          <w:rFonts w:ascii="仿宋" w:hAnsi="仿宋" w:eastAsia="仿宋"/>
          <w:color w:val="auto"/>
          <w:sz w:val="28"/>
          <w:szCs w:val="28"/>
          <w:highlight w:val="none"/>
        </w:rPr>
      </w:pPr>
      <w:r>
        <w:rPr>
          <w:rFonts w:hint="eastAsia" w:ascii="仿宋" w:hAnsi="仿宋" w:eastAsia="仿宋"/>
          <w:color w:val="auto"/>
          <w:sz w:val="28"/>
          <w:szCs w:val="28"/>
          <w:highlight w:val="none"/>
        </w:rPr>
        <w:t>项目联系人：</w:t>
      </w:r>
      <w:r>
        <w:rPr>
          <w:rFonts w:hint="eastAsia" w:ascii="仿宋" w:hAnsi="仿宋" w:eastAsia="仿宋" w:cs="宋体"/>
          <w:color w:val="auto"/>
          <w:sz w:val="28"/>
          <w:szCs w:val="28"/>
          <w:highlight w:val="none"/>
          <w:lang w:val="en-US" w:eastAsia="zh-CN"/>
        </w:rPr>
        <w:t>江</w:t>
      </w:r>
      <w:r>
        <w:rPr>
          <w:rFonts w:hint="eastAsia" w:ascii="仿宋" w:hAnsi="仿宋" w:eastAsia="仿宋" w:cs="宋体"/>
          <w:color w:val="auto"/>
          <w:sz w:val="28"/>
          <w:szCs w:val="28"/>
          <w:highlight w:val="none"/>
        </w:rPr>
        <w:t>先生</w:t>
      </w:r>
    </w:p>
    <w:p>
      <w:pPr>
        <w:keepNext w:val="0"/>
        <w:keepLines w:val="0"/>
        <w:pageBreakBefore w:val="0"/>
        <w:widowControl w:val="0"/>
        <w:kinsoku/>
        <w:wordWrap w:val="0"/>
        <w:overflowPunct/>
        <w:topLinePunct w:val="0"/>
        <w:autoSpaceDE/>
        <w:autoSpaceDN/>
        <w:bidi w:val="0"/>
        <w:adjustRightInd w:val="0"/>
        <w:snapToGrid w:val="0"/>
        <w:spacing w:line="360" w:lineRule="auto"/>
        <w:ind w:left="97" w:leftChars="46" w:firstLine="442" w:firstLineChars="158"/>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电　话：0755-8837757</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转23</w:t>
      </w:r>
      <w:r>
        <w:rPr>
          <w:rFonts w:hint="eastAsia" w:ascii="仿宋" w:hAnsi="仿宋" w:eastAsia="仿宋"/>
          <w:color w:val="auto"/>
          <w:sz w:val="28"/>
          <w:szCs w:val="28"/>
          <w:highlight w:val="none"/>
          <w:lang w:val="en-US" w:eastAsia="zh-CN"/>
        </w:rPr>
        <w:t>11</w:t>
      </w:r>
    </w:p>
    <w:p>
      <w:pPr>
        <w:keepNext w:val="0"/>
        <w:keepLines w:val="0"/>
        <w:pageBreakBefore w:val="0"/>
        <w:widowControl w:val="0"/>
        <w:kinsoku/>
        <w:wordWrap w:val="0"/>
        <w:overflowPunct/>
        <w:topLinePunct w:val="0"/>
        <w:autoSpaceDE/>
        <w:autoSpaceDN/>
        <w:bidi w:val="0"/>
        <w:adjustRightInd w:val="0"/>
        <w:snapToGrid w:val="0"/>
        <w:spacing w:line="360" w:lineRule="auto"/>
        <w:ind w:left="97" w:leftChars="46" w:firstLine="442" w:firstLineChars="158"/>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 xml:space="preserve">备用联系人：易先生 </w:t>
      </w:r>
    </w:p>
    <w:p>
      <w:pPr>
        <w:keepNext w:val="0"/>
        <w:keepLines w:val="0"/>
        <w:pageBreakBefore w:val="0"/>
        <w:widowControl w:val="0"/>
        <w:kinsoku/>
        <w:wordWrap w:val="0"/>
        <w:overflowPunct/>
        <w:topLinePunct w:val="0"/>
        <w:autoSpaceDE/>
        <w:autoSpaceDN/>
        <w:bidi w:val="0"/>
        <w:adjustRightInd w:val="0"/>
        <w:snapToGrid w:val="0"/>
        <w:spacing w:line="360" w:lineRule="auto"/>
        <w:ind w:left="97" w:leftChars="46" w:firstLine="442" w:firstLineChars="158"/>
        <w:textAlignment w:val="auto"/>
        <w:rPr>
          <w:rFonts w:hint="default"/>
          <w:color w:val="auto"/>
          <w:highlight w:val="none"/>
          <w:lang w:val="en-US" w:eastAsia="zh-CN"/>
        </w:rPr>
      </w:pPr>
      <w:r>
        <w:rPr>
          <w:rFonts w:hint="eastAsia" w:ascii="仿宋" w:hAnsi="仿宋" w:eastAsia="仿宋"/>
          <w:color w:val="auto"/>
          <w:sz w:val="28"/>
          <w:szCs w:val="28"/>
          <w:highlight w:val="none"/>
          <w:lang w:val="en-US" w:eastAsia="zh-CN"/>
        </w:rPr>
        <w:t>备用联系电话：0755-88377572转2320</w:t>
      </w:r>
    </w:p>
    <w:p>
      <w:pPr>
        <w:adjustRightInd w:val="0"/>
        <w:snapToGrid w:val="0"/>
        <w:spacing w:line="360" w:lineRule="auto"/>
        <w:ind w:left="1121" w:leftChars="238" w:hanging="621" w:hangingChars="222"/>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邮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编：518040</w:t>
      </w:r>
    </w:p>
    <w:p>
      <w:pPr>
        <w:adjustRightInd w:val="0"/>
        <w:snapToGrid w:val="0"/>
        <w:spacing w:line="360" w:lineRule="auto"/>
        <w:ind w:left="1121" w:leftChars="238" w:hanging="621" w:hangingChars="222"/>
        <w:rPr>
          <w:rFonts w:ascii="仿宋" w:hAnsi="仿宋" w:eastAsia="仿宋"/>
          <w:color w:val="auto"/>
          <w:sz w:val="28"/>
          <w:szCs w:val="28"/>
          <w:highlight w:val="none"/>
        </w:rPr>
      </w:pPr>
      <w:r>
        <w:rPr>
          <w:rFonts w:hint="eastAsia" w:ascii="仿宋" w:hAnsi="仿宋" w:eastAsia="仿宋"/>
          <w:color w:val="auto"/>
          <w:sz w:val="28"/>
          <w:szCs w:val="28"/>
          <w:highlight w:val="none"/>
        </w:rPr>
        <w:t>邮 箱：cailiansz@126.com</w:t>
      </w:r>
    </w:p>
    <w:p>
      <w:pPr>
        <w:widowControl/>
        <w:ind w:left="42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十二、附件（可在采购代理机构（www.chinapsp.cn）网站查看）</w:t>
      </w:r>
    </w:p>
    <w:p>
      <w:pPr>
        <w:ind w:left="57" w:leftChars="27" w:firstLine="439" w:firstLineChars="157"/>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（一）</w:t>
      </w:r>
      <w:r>
        <w:rPr>
          <w:rFonts w:hint="eastAsia" w:ascii="仿宋" w:hAnsi="仿宋" w:eastAsia="仿宋" w:cs="宋体"/>
          <w:color w:val="auto"/>
          <w:kern w:val="0"/>
          <w:sz w:val="28"/>
          <w:szCs w:val="28"/>
          <w:highlight w:val="none"/>
          <w:lang w:eastAsia="zh-CN"/>
        </w:rPr>
        <w:t>招标文件</w:t>
      </w:r>
    </w:p>
    <w:p>
      <w:pPr>
        <w:ind w:left="57" w:leftChars="27" w:firstLine="439" w:firstLineChars="157"/>
        <w:rPr>
          <w:rFonts w:hint="eastAsia" w:ascii="仿宋" w:hAnsi="仿宋" w:eastAsia="仿宋"/>
          <w:b/>
          <w:color w:val="auto"/>
          <w:sz w:val="28"/>
          <w:szCs w:val="28"/>
          <w:highlight w:val="none"/>
          <w:u w:val="none"/>
        </w:rPr>
      </w:pPr>
      <w:r>
        <w:rPr>
          <w:rFonts w:hint="eastAsia" w:ascii="仿宋" w:hAnsi="仿宋" w:eastAsia="仿宋" w:cs="宋体"/>
          <w:color w:val="auto"/>
          <w:kern w:val="0"/>
          <w:sz w:val="28"/>
          <w:szCs w:val="28"/>
          <w:highlight w:val="none"/>
        </w:rPr>
        <w:t>（</w:t>
      </w:r>
      <w:r>
        <w:rPr>
          <w:rFonts w:hint="eastAsia" w:ascii="仿宋" w:hAnsi="仿宋" w:eastAsia="仿宋" w:cs="宋体"/>
          <w:color w:val="auto"/>
          <w:kern w:val="0"/>
          <w:sz w:val="28"/>
          <w:szCs w:val="28"/>
          <w:highlight w:val="none"/>
          <w:lang w:eastAsia="zh-CN"/>
        </w:rPr>
        <w:t>二</w:t>
      </w:r>
      <w:r>
        <w:rPr>
          <w:rFonts w:hint="eastAsia" w:ascii="仿宋" w:hAnsi="仿宋" w:eastAsia="仿宋" w:cs="宋体"/>
          <w:color w:val="auto"/>
          <w:kern w:val="0"/>
          <w:sz w:val="28"/>
          <w:szCs w:val="28"/>
          <w:highlight w:val="none"/>
        </w:rPr>
        <w:t>）供应商诚信</w:t>
      </w:r>
    </w:p>
    <w:p>
      <w:pPr>
        <w:keepNext w:val="0"/>
        <w:keepLines w:val="0"/>
        <w:pageBreakBefore w:val="0"/>
        <w:widowControl w:val="0"/>
        <w:tabs>
          <w:tab w:val="right" w:pos="9180"/>
        </w:tabs>
        <w:kinsoku/>
        <w:wordWrap/>
        <w:overflowPunct/>
        <w:topLinePunct w:val="0"/>
        <w:autoSpaceDE/>
        <w:autoSpaceDN/>
        <w:bidi w:val="0"/>
        <w:adjustRightInd w:val="0"/>
        <w:snapToGrid w:val="0"/>
        <w:spacing w:before="625" w:beforeLines="200" w:line="360" w:lineRule="auto"/>
        <w:ind w:firstLine="437"/>
        <w:jc w:val="right"/>
        <w:textAlignment w:val="auto"/>
        <w:rPr>
          <w:rFonts w:ascii="仿宋" w:hAnsi="仿宋" w:eastAsia="仿宋"/>
          <w:b/>
          <w:color w:val="auto"/>
          <w:sz w:val="28"/>
          <w:szCs w:val="28"/>
          <w:highlight w:val="none"/>
          <w:u w:val="none"/>
        </w:rPr>
      </w:pPr>
      <w:r>
        <w:rPr>
          <w:rFonts w:hint="eastAsia" w:ascii="仿宋" w:hAnsi="仿宋" w:eastAsia="仿宋"/>
          <w:b/>
          <w:color w:val="auto"/>
          <w:sz w:val="28"/>
          <w:szCs w:val="28"/>
          <w:highlight w:val="none"/>
          <w:u w:val="none"/>
        </w:rPr>
        <w:t>采联国际招标采购集团有限公司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37"/>
        <w:jc w:val="right"/>
        <w:textAlignment w:val="auto"/>
        <w:rPr>
          <w:rFonts w:ascii="仿宋" w:hAnsi="仿宋" w:eastAsia="仿宋"/>
          <w:b/>
          <w:color w:val="auto"/>
          <w:sz w:val="28"/>
          <w:szCs w:val="28"/>
          <w:highlight w:val="none"/>
          <w:u w:val="none"/>
        </w:rPr>
      </w:pPr>
      <w:r>
        <w:rPr>
          <w:rFonts w:hint="eastAsia" w:ascii="仿宋" w:hAnsi="仿宋" w:eastAsia="仿宋"/>
          <w:b/>
          <w:color w:val="auto"/>
          <w:sz w:val="28"/>
          <w:szCs w:val="28"/>
          <w:highlight w:val="none"/>
          <w:u w:val="none"/>
          <w:lang w:val="en-US" w:eastAsia="zh-CN"/>
        </w:rPr>
        <w:t>2024</w:t>
      </w:r>
      <w:r>
        <w:rPr>
          <w:rFonts w:hint="eastAsia" w:ascii="仿宋" w:hAnsi="仿宋" w:eastAsia="仿宋"/>
          <w:b/>
          <w:color w:val="auto"/>
          <w:sz w:val="28"/>
          <w:szCs w:val="28"/>
          <w:highlight w:val="none"/>
          <w:u w:val="none"/>
        </w:rPr>
        <w:t>年</w:t>
      </w:r>
      <w:r>
        <w:rPr>
          <w:rFonts w:hint="eastAsia" w:ascii="仿宋" w:hAnsi="仿宋" w:eastAsia="仿宋"/>
          <w:b/>
          <w:color w:val="auto"/>
          <w:sz w:val="28"/>
          <w:szCs w:val="28"/>
          <w:highlight w:val="none"/>
          <w:u w:val="none"/>
          <w:lang w:val="en-US" w:eastAsia="zh-CN"/>
        </w:rPr>
        <w:t>5</w:t>
      </w:r>
      <w:r>
        <w:rPr>
          <w:rFonts w:hint="eastAsia" w:ascii="仿宋" w:hAnsi="仿宋" w:eastAsia="仿宋"/>
          <w:b/>
          <w:color w:val="auto"/>
          <w:sz w:val="28"/>
          <w:szCs w:val="28"/>
          <w:highlight w:val="none"/>
          <w:u w:val="none"/>
        </w:rPr>
        <w:t>月</w:t>
      </w:r>
      <w:r>
        <w:rPr>
          <w:rFonts w:hint="eastAsia" w:ascii="仿宋" w:hAnsi="仿宋" w:eastAsia="仿宋"/>
          <w:b/>
          <w:color w:val="auto"/>
          <w:sz w:val="28"/>
          <w:szCs w:val="28"/>
          <w:highlight w:val="none"/>
          <w:u w:val="none"/>
          <w:lang w:val="en-US" w:eastAsia="zh-CN"/>
        </w:rPr>
        <w:t>13</w:t>
      </w:r>
      <w:bookmarkStart w:id="5" w:name="_GoBack"/>
      <w:bookmarkEnd w:id="5"/>
      <w:r>
        <w:rPr>
          <w:rFonts w:hint="eastAsia" w:ascii="仿宋" w:hAnsi="仿宋" w:eastAsia="仿宋"/>
          <w:b/>
          <w:color w:val="auto"/>
          <w:sz w:val="28"/>
          <w:szCs w:val="28"/>
          <w:highlight w:val="none"/>
          <w:u w:val="none"/>
        </w:rPr>
        <w:t>日</w:t>
      </w:r>
    </w:p>
    <w:p>
      <w:pPr>
        <w:widowControl/>
        <w:spacing w:before="100" w:beforeAutospacing="1" w:after="100" w:afterAutospacing="1"/>
        <w:jc w:val="center"/>
        <w:rPr>
          <w:rFonts w:ascii="仿宋" w:hAnsi="仿宋" w:eastAsia="仿宋" w:cstheme="minorBidi"/>
          <w:color w:val="auto"/>
          <w:sz w:val="28"/>
          <w:szCs w:val="28"/>
          <w:highlight w:val="none"/>
        </w:rPr>
      </w:pPr>
    </w:p>
    <w:sectPr>
      <w:pgSz w:w="11906" w:h="16838"/>
      <w:pgMar w:top="1440" w:right="1134"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BF304D"/>
    <w:multiLevelType w:val="singleLevel"/>
    <w:tmpl w:val="37BF304D"/>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2ZGY1N2IzMmYzMTAyODhkOTZjNjBkY2I3NGQ1NjAifQ=="/>
    <w:docVar w:name="KSO_WPS_MARK_KEY" w:val="483f2a57-3b45-44e0-8383-6e8347083170"/>
  </w:docVars>
  <w:rsids>
    <w:rsidRoot w:val="00430B55"/>
    <w:rsid w:val="00004E37"/>
    <w:rsid w:val="0000797F"/>
    <w:rsid w:val="00037406"/>
    <w:rsid w:val="00040F29"/>
    <w:rsid w:val="00045F11"/>
    <w:rsid w:val="000670C8"/>
    <w:rsid w:val="000801F4"/>
    <w:rsid w:val="000815E8"/>
    <w:rsid w:val="00093379"/>
    <w:rsid w:val="000A5B41"/>
    <w:rsid w:val="000D7D7C"/>
    <w:rsid w:val="000F3591"/>
    <w:rsid w:val="00104A74"/>
    <w:rsid w:val="00115AC7"/>
    <w:rsid w:val="00127858"/>
    <w:rsid w:val="00155EC9"/>
    <w:rsid w:val="00174B43"/>
    <w:rsid w:val="001B2FD7"/>
    <w:rsid w:val="001E6BA1"/>
    <w:rsid w:val="00217419"/>
    <w:rsid w:val="00223B06"/>
    <w:rsid w:val="00235A41"/>
    <w:rsid w:val="00251E8D"/>
    <w:rsid w:val="002804FD"/>
    <w:rsid w:val="002D17E3"/>
    <w:rsid w:val="002E78E8"/>
    <w:rsid w:val="002F4CC6"/>
    <w:rsid w:val="002F7D23"/>
    <w:rsid w:val="003021D1"/>
    <w:rsid w:val="00322178"/>
    <w:rsid w:val="003226BB"/>
    <w:rsid w:val="00327A23"/>
    <w:rsid w:val="00334C25"/>
    <w:rsid w:val="0037269B"/>
    <w:rsid w:val="00381BF2"/>
    <w:rsid w:val="003A2ADF"/>
    <w:rsid w:val="003B043D"/>
    <w:rsid w:val="003D66D2"/>
    <w:rsid w:val="003D7060"/>
    <w:rsid w:val="003F61F4"/>
    <w:rsid w:val="00404D7D"/>
    <w:rsid w:val="00416B37"/>
    <w:rsid w:val="00430B55"/>
    <w:rsid w:val="00436061"/>
    <w:rsid w:val="00445B92"/>
    <w:rsid w:val="004662CB"/>
    <w:rsid w:val="00467B93"/>
    <w:rsid w:val="00473E97"/>
    <w:rsid w:val="004754B6"/>
    <w:rsid w:val="004808F2"/>
    <w:rsid w:val="004D455F"/>
    <w:rsid w:val="00573049"/>
    <w:rsid w:val="00576621"/>
    <w:rsid w:val="005B304B"/>
    <w:rsid w:val="005C093E"/>
    <w:rsid w:val="005C5AF3"/>
    <w:rsid w:val="005F5A82"/>
    <w:rsid w:val="005F6720"/>
    <w:rsid w:val="005F735A"/>
    <w:rsid w:val="006337AF"/>
    <w:rsid w:val="00634485"/>
    <w:rsid w:val="006442EB"/>
    <w:rsid w:val="00654071"/>
    <w:rsid w:val="00654BFD"/>
    <w:rsid w:val="00683C3D"/>
    <w:rsid w:val="006B6DB3"/>
    <w:rsid w:val="006C0C4A"/>
    <w:rsid w:val="006D3071"/>
    <w:rsid w:val="006D3201"/>
    <w:rsid w:val="0071272F"/>
    <w:rsid w:val="00733C15"/>
    <w:rsid w:val="00745917"/>
    <w:rsid w:val="00757832"/>
    <w:rsid w:val="00777A20"/>
    <w:rsid w:val="007C2591"/>
    <w:rsid w:val="008025F1"/>
    <w:rsid w:val="00837B6C"/>
    <w:rsid w:val="00842E72"/>
    <w:rsid w:val="008553CE"/>
    <w:rsid w:val="008930D8"/>
    <w:rsid w:val="008F3AE8"/>
    <w:rsid w:val="009127E4"/>
    <w:rsid w:val="0093263A"/>
    <w:rsid w:val="00955E7A"/>
    <w:rsid w:val="0098101D"/>
    <w:rsid w:val="009A63E2"/>
    <w:rsid w:val="009B0517"/>
    <w:rsid w:val="009B3B09"/>
    <w:rsid w:val="009E24D6"/>
    <w:rsid w:val="00A027FF"/>
    <w:rsid w:val="00A02956"/>
    <w:rsid w:val="00A04E2C"/>
    <w:rsid w:val="00A15294"/>
    <w:rsid w:val="00A21FD6"/>
    <w:rsid w:val="00A423F9"/>
    <w:rsid w:val="00A458D3"/>
    <w:rsid w:val="00A82758"/>
    <w:rsid w:val="00A93813"/>
    <w:rsid w:val="00AA046A"/>
    <w:rsid w:val="00AA31A9"/>
    <w:rsid w:val="00AB0337"/>
    <w:rsid w:val="00AB520B"/>
    <w:rsid w:val="00AC347D"/>
    <w:rsid w:val="00AE2241"/>
    <w:rsid w:val="00AF2D84"/>
    <w:rsid w:val="00B00116"/>
    <w:rsid w:val="00B028F3"/>
    <w:rsid w:val="00B22240"/>
    <w:rsid w:val="00B22843"/>
    <w:rsid w:val="00B517A2"/>
    <w:rsid w:val="00B56A3F"/>
    <w:rsid w:val="00B94844"/>
    <w:rsid w:val="00BC5F13"/>
    <w:rsid w:val="00C009CC"/>
    <w:rsid w:val="00C144C2"/>
    <w:rsid w:val="00C14C85"/>
    <w:rsid w:val="00C53726"/>
    <w:rsid w:val="00C662FF"/>
    <w:rsid w:val="00CA4173"/>
    <w:rsid w:val="00CB000E"/>
    <w:rsid w:val="00CB25C8"/>
    <w:rsid w:val="00CC20AC"/>
    <w:rsid w:val="00D34A19"/>
    <w:rsid w:val="00D502B8"/>
    <w:rsid w:val="00D5530F"/>
    <w:rsid w:val="00D6242C"/>
    <w:rsid w:val="00D65D02"/>
    <w:rsid w:val="00D67B1A"/>
    <w:rsid w:val="00DA63EC"/>
    <w:rsid w:val="00DC2E45"/>
    <w:rsid w:val="00DE0CCD"/>
    <w:rsid w:val="00DE7163"/>
    <w:rsid w:val="00DF0334"/>
    <w:rsid w:val="00E1277C"/>
    <w:rsid w:val="00E1422B"/>
    <w:rsid w:val="00E4044F"/>
    <w:rsid w:val="00E80096"/>
    <w:rsid w:val="00EA3824"/>
    <w:rsid w:val="00EC2C7B"/>
    <w:rsid w:val="00EC320F"/>
    <w:rsid w:val="00EF1E0B"/>
    <w:rsid w:val="00EF1F85"/>
    <w:rsid w:val="00F01ED0"/>
    <w:rsid w:val="00F148FE"/>
    <w:rsid w:val="00F830D2"/>
    <w:rsid w:val="00FA5075"/>
    <w:rsid w:val="00FA5FF8"/>
    <w:rsid w:val="00FE1D4A"/>
    <w:rsid w:val="00FE314F"/>
    <w:rsid w:val="00FE3960"/>
    <w:rsid w:val="036E49E1"/>
    <w:rsid w:val="03A9358B"/>
    <w:rsid w:val="067A6A90"/>
    <w:rsid w:val="09D937EA"/>
    <w:rsid w:val="09E614A1"/>
    <w:rsid w:val="0A6D7B38"/>
    <w:rsid w:val="0BDF6813"/>
    <w:rsid w:val="0E903B52"/>
    <w:rsid w:val="0EDD2E69"/>
    <w:rsid w:val="0F307EA4"/>
    <w:rsid w:val="13095D43"/>
    <w:rsid w:val="137678B4"/>
    <w:rsid w:val="138275F0"/>
    <w:rsid w:val="14D42DB1"/>
    <w:rsid w:val="15761F97"/>
    <w:rsid w:val="17FE0E64"/>
    <w:rsid w:val="188C32F1"/>
    <w:rsid w:val="1AE906D3"/>
    <w:rsid w:val="1CC76CA7"/>
    <w:rsid w:val="1D576A65"/>
    <w:rsid w:val="1FAD62E6"/>
    <w:rsid w:val="201358D5"/>
    <w:rsid w:val="260C212E"/>
    <w:rsid w:val="26E93C26"/>
    <w:rsid w:val="2C4F0432"/>
    <w:rsid w:val="2E8064A7"/>
    <w:rsid w:val="2EF87941"/>
    <w:rsid w:val="2FB64A9F"/>
    <w:rsid w:val="30831630"/>
    <w:rsid w:val="32B36CE8"/>
    <w:rsid w:val="32BE2005"/>
    <w:rsid w:val="35BE10C4"/>
    <w:rsid w:val="37DC40A9"/>
    <w:rsid w:val="37E8065D"/>
    <w:rsid w:val="3A3951BD"/>
    <w:rsid w:val="3A9C12B9"/>
    <w:rsid w:val="3C495460"/>
    <w:rsid w:val="3C4D5977"/>
    <w:rsid w:val="3D015476"/>
    <w:rsid w:val="3F8E1B07"/>
    <w:rsid w:val="3FAB327F"/>
    <w:rsid w:val="405C3E41"/>
    <w:rsid w:val="41AD1D1E"/>
    <w:rsid w:val="42480623"/>
    <w:rsid w:val="42E05F26"/>
    <w:rsid w:val="438C5687"/>
    <w:rsid w:val="47143C3C"/>
    <w:rsid w:val="4B8E31F1"/>
    <w:rsid w:val="4BF34243"/>
    <w:rsid w:val="501A79B1"/>
    <w:rsid w:val="50431E61"/>
    <w:rsid w:val="533A2DE6"/>
    <w:rsid w:val="538A2E61"/>
    <w:rsid w:val="55DB2AA7"/>
    <w:rsid w:val="573B2060"/>
    <w:rsid w:val="57CD4D3F"/>
    <w:rsid w:val="593C217C"/>
    <w:rsid w:val="5BB46074"/>
    <w:rsid w:val="5CBC610A"/>
    <w:rsid w:val="5CDD5A24"/>
    <w:rsid w:val="5D201AFA"/>
    <w:rsid w:val="5F830454"/>
    <w:rsid w:val="5FD70719"/>
    <w:rsid w:val="62BC43B0"/>
    <w:rsid w:val="675A1129"/>
    <w:rsid w:val="6A466D71"/>
    <w:rsid w:val="6AA818C5"/>
    <w:rsid w:val="72727742"/>
    <w:rsid w:val="74097F98"/>
    <w:rsid w:val="74E0358A"/>
    <w:rsid w:val="76376A59"/>
    <w:rsid w:val="7A63170E"/>
    <w:rsid w:val="7ACD5F49"/>
    <w:rsid w:val="7AFD50A4"/>
    <w:rsid w:val="7AFE508C"/>
    <w:rsid w:val="7C354ADD"/>
    <w:rsid w:val="DE73E8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5"/>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17"/>
    <w:autoRedefine/>
    <w:unhideWhenUsed/>
    <w:qFormat/>
    <w:uiPriority w:val="0"/>
    <w:pPr>
      <w:jc w:val="left"/>
    </w:pPr>
  </w:style>
  <w:style w:type="paragraph" w:styleId="5">
    <w:name w:val="Plain Text"/>
    <w:basedOn w:val="1"/>
    <w:link w:val="16"/>
    <w:autoRedefine/>
    <w:qFormat/>
    <w:uiPriority w:val="0"/>
    <w:rPr>
      <w:rFonts w:ascii="宋体" w:hAnsi="Courier New" w:eastAsiaTheme="minorEastAsia" w:cstheme="minorBidi"/>
      <w:szCs w:val="22"/>
    </w:rPr>
  </w:style>
  <w:style w:type="paragraph" w:styleId="6">
    <w:name w:val="Balloon Text"/>
    <w:basedOn w:val="1"/>
    <w:link w:val="18"/>
    <w:autoRedefine/>
    <w:semiHidden/>
    <w:unhideWhenUsed/>
    <w:qFormat/>
    <w:uiPriority w:val="99"/>
    <w:rPr>
      <w:sz w:val="18"/>
      <w:szCs w:val="18"/>
    </w:rPr>
  </w:style>
  <w:style w:type="paragraph" w:styleId="7">
    <w:name w:val="footer"/>
    <w:basedOn w:val="1"/>
    <w:link w:val="20"/>
    <w:autoRedefine/>
    <w:unhideWhenUsed/>
    <w:qFormat/>
    <w:uiPriority w:val="99"/>
    <w:pPr>
      <w:tabs>
        <w:tab w:val="center" w:pos="4153"/>
        <w:tab w:val="right" w:pos="8306"/>
      </w:tabs>
      <w:snapToGrid w:val="0"/>
      <w:jc w:val="left"/>
    </w:pPr>
    <w:rPr>
      <w:sz w:val="18"/>
      <w:szCs w:val="18"/>
    </w:rPr>
  </w:style>
  <w:style w:type="paragraph" w:styleId="8">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1"/>
    <w:autoRedefine/>
    <w:semiHidden/>
    <w:unhideWhenUsed/>
    <w:qFormat/>
    <w:uiPriority w:val="99"/>
    <w:rPr>
      <w:b/>
      <w:bCs/>
    </w:rPr>
  </w:style>
  <w:style w:type="table" w:styleId="11">
    <w:name w:val="Table Grid"/>
    <w:basedOn w:val="1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unhideWhenUsed/>
    <w:qFormat/>
    <w:uiPriority w:val="99"/>
    <w:rPr>
      <w:color w:val="0000FF" w:themeColor="hyperlink"/>
      <w:u w:val="single"/>
      <w14:textFill>
        <w14:solidFill>
          <w14:schemeClr w14:val="hlink"/>
        </w14:solidFill>
      </w14:textFill>
    </w:rPr>
  </w:style>
  <w:style w:type="character" w:styleId="14">
    <w:name w:val="annotation reference"/>
    <w:basedOn w:val="12"/>
    <w:autoRedefine/>
    <w:unhideWhenUsed/>
    <w:qFormat/>
    <w:uiPriority w:val="0"/>
    <w:rPr>
      <w:sz w:val="21"/>
      <w:szCs w:val="21"/>
    </w:rPr>
  </w:style>
  <w:style w:type="character" w:customStyle="1" w:styleId="15">
    <w:name w:val="标题 1 字符"/>
    <w:basedOn w:val="12"/>
    <w:link w:val="2"/>
    <w:autoRedefine/>
    <w:qFormat/>
    <w:uiPriority w:val="9"/>
    <w:rPr>
      <w:rFonts w:ascii="Times New Roman" w:hAnsi="Times New Roman" w:eastAsia="宋体" w:cs="Times New Roman"/>
      <w:b/>
      <w:bCs/>
      <w:kern w:val="44"/>
      <w:sz w:val="44"/>
      <w:szCs w:val="44"/>
    </w:rPr>
  </w:style>
  <w:style w:type="character" w:customStyle="1" w:styleId="16">
    <w:name w:val="纯文本 字符"/>
    <w:basedOn w:val="12"/>
    <w:link w:val="5"/>
    <w:autoRedefine/>
    <w:qFormat/>
    <w:uiPriority w:val="0"/>
    <w:rPr>
      <w:rFonts w:ascii="宋体" w:hAnsi="Courier New"/>
    </w:rPr>
  </w:style>
  <w:style w:type="character" w:customStyle="1" w:styleId="17">
    <w:name w:val="批注文字 字符"/>
    <w:basedOn w:val="12"/>
    <w:link w:val="4"/>
    <w:autoRedefine/>
    <w:qFormat/>
    <w:uiPriority w:val="0"/>
    <w:rPr>
      <w:rFonts w:ascii="Times New Roman" w:hAnsi="Times New Roman" w:eastAsia="宋体" w:cs="Times New Roman"/>
      <w:szCs w:val="21"/>
    </w:rPr>
  </w:style>
  <w:style w:type="character" w:customStyle="1" w:styleId="18">
    <w:name w:val="批注框文本 字符"/>
    <w:basedOn w:val="12"/>
    <w:link w:val="6"/>
    <w:autoRedefine/>
    <w:semiHidden/>
    <w:qFormat/>
    <w:uiPriority w:val="99"/>
    <w:rPr>
      <w:rFonts w:ascii="Times New Roman" w:hAnsi="Times New Roman" w:eastAsia="宋体" w:cs="Times New Roman"/>
      <w:sz w:val="18"/>
      <w:szCs w:val="18"/>
    </w:rPr>
  </w:style>
  <w:style w:type="character" w:customStyle="1" w:styleId="19">
    <w:name w:val="页眉 字符"/>
    <w:basedOn w:val="12"/>
    <w:link w:val="8"/>
    <w:autoRedefine/>
    <w:qFormat/>
    <w:uiPriority w:val="99"/>
    <w:rPr>
      <w:rFonts w:ascii="Times New Roman" w:hAnsi="Times New Roman" w:eastAsia="宋体" w:cs="Times New Roman"/>
      <w:sz w:val="18"/>
      <w:szCs w:val="18"/>
    </w:rPr>
  </w:style>
  <w:style w:type="character" w:customStyle="1" w:styleId="20">
    <w:name w:val="页脚 字符"/>
    <w:basedOn w:val="12"/>
    <w:link w:val="7"/>
    <w:autoRedefine/>
    <w:qFormat/>
    <w:uiPriority w:val="99"/>
    <w:rPr>
      <w:rFonts w:ascii="Times New Roman" w:hAnsi="Times New Roman" w:eastAsia="宋体" w:cs="Times New Roman"/>
      <w:sz w:val="18"/>
      <w:szCs w:val="18"/>
    </w:rPr>
  </w:style>
  <w:style w:type="character" w:customStyle="1" w:styleId="21">
    <w:name w:val="批注主题 字符"/>
    <w:basedOn w:val="17"/>
    <w:link w:val="9"/>
    <w:autoRedefine/>
    <w:semiHidden/>
    <w:qFormat/>
    <w:uiPriority w:val="99"/>
    <w:rPr>
      <w:rFonts w:ascii="Times New Roman" w:hAnsi="Times New Roman" w:eastAsia="宋体" w:cs="Times New Roman"/>
      <w:b/>
      <w:bCs/>
      <w:szCs w:val="21"/>
    </w:rPr>
  </w:style>
  <w:style w:type="character" w:customStyle="1" w:styleId="22">
    <w:name w:val="未处理的提及1"/>
    <w:basedOn w:val="12"/>
    <w:autoRedefine/>
    <w:semiHidden/>
    <w:unhideWhenUsed/>
    <w:qFormat/>
    <w:uiPriority w:val="99"/>
    <w:rPr>
      <w:color w:val="605E5C"/>
      <w:shd w:val="clear" w:color="auto" w:fill="E1DFDD"/>
    </w:rPr>
  </w:style>
  <w:style w:type="paragraph" w:styleId="23">
    <w:name w:val="List Paragraph"/>
    <w:basedOn w:val="1"/>
    <w:link w:val="24"/>
    <w:autoRedefine/>
    <w:qFormat/>
    <w:uiPriority w:val="34"/>
    <w:pPr>
      <w:ind w:firstLine="420" w:firstLineChars="200"/>
    </w:pPr>
  </w:style>
  <w:style w:type="character" w:customStyle="1" w:styleId="24">
    <w:name w:val="列表段落 字符"/>
    <w:link w:val="23"/>
    <w:autoRedefine/>
    <w:qFormat/>
    <w:uiPriority w:val="34"/>
    <w:rPr>
      <w:kern w:val="2"/>
      <w:sz w:val="21"/>
      <w:szCs w:val="21"/>
    </w:rPr>
  </w:style>
  <w:style w:type="character" w:customStyle="1" w:styleId="25">
    <w:name w:val="未处理的提及2"/>
    <w:basedOn w:val="12"/>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1478</Words>
  <Characters>1787</Characters>
  <Lines>13</Lines>
  <Paragraphs>3</Paragraphs>
  <TotalTime>2</TotalTime>
  <ScaleCrop>false</ScaleCrop>
  <LinksUpToDate>false</LinksUpToDate>
  <CharactersWithSpaces>1845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2020-07-31T10:45:00Z</dcterms:created>
  <dc:creator>魏炫</dc:creator>
  <cp:lastModifiedBy>Aboy</cp:lastModifiedBy>
  <dcterms:modified xsi:type="dcterms:W3CDTF">2024-05-13T01:26:22Z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35B48894556E4C158175E5AD068EA81E</vt:lpwstr>
  </property>
</Properties>
</file>