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360" w:lineRule="auto"/>
        <w:ind w:left="-105" w:leftChars="-50" w:right="-105" w:rightChars="-50"/>
        <w:jc w:val="center"/>
        <w:textAlignment w:val="auto"/>
        <w:rPr>
          <w:rFonts w:hint="eastAsia" w:ascii="华文中宋" w:hAnsi="华文中宋" w:eastAsia="华文中宋"/>
          <w:color w:val="000000" w:themeColor="text1"/>
          <w:sz w:val="32"/>
          <w:szCs w:val="32"/>
          <w:highlight w:val="none"/>
          <w14:textFill>
            <w14:solidFill>
              <w14:schemeClr w14:val="tx1"/>
            </w14:solidFill>
          </w14:textFill>
        </w:rPr>
      </w:pPr>
      <w:bookmarkStart w:id="5" w:name="_GoBack"/>
      <w:bookmarkEnd w:id="5"/>
      <w:r>
        <w:rPr>
          <w:rFonts w:hint="eastAsia" w:ascii="华文中宋" w:hAnsi="华文中宋" w:eastAsia="华文中宋"/>
          <w:color w:val="000000" w:themeColor="text1"/>
          <w:sz w:val="32"/>
          <w:szCs w:val="32"/>
          <w:highlight w:val="none"/>
          <w:lang w:eastAsia="zh-CN"/>
          <w14:textFill>
            <w14:solidFill>
              <w14:schemeClr w14:val="tx1"/>
            </w14:solidFill>
          </w14:textFill>
        </w:rPr>
        <w:t>深圳市劳动人事争议仲裁院仲裁集约送达服务</w:t>
      </w:r>
      <w:r>
        <w:rPr>
          <w:rFonts w:hint="eastAsia" w:ascii="华文中宋" w:hAnsi="华文中宋" w:eastAsia="华文中宋"/>
          <w:color w:val="000000" w:themeColor="text1"/>
          <w:sz w:val="32"/>
          <w:szCs w:val="32"/>
          <w:highlight w:val="none"/>
          <w14:textFill>
            <w14:solidFill>
              <w14:schemeClr w14:val="tx1"/>
            </w14:solidFill>
          </w14:textFill>
        </w:rPr>
        <w:t>成交结果公示</w:t>
      </w:r>
    </w:p>
    <w:p/>
    <w:p>
      <w:pPr>
        <w:ind w:left="42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一、项目编号：</w:t>
      </w:r>
      <w:r>
        <w:rPr>
          <w:rFonts w:hint="eastAsia" w:ascii="仿宋" w:hAnsi="仿宋" w:eastAsia="仿宋"/>
          <w:color w:val="000000" w:themeColor="text1"/>
          <w:sz w:val="28"/>
          <w:szCs w:val="28"/>
          <w:highlight w:val="none"/>
          <w:lang w:eastAsia="zh-CN"/>
          <w14:textFill>
            <w14:solidFill>
              <w14:schemeClr w14:val="tx1"/>
            </w14:solidFill>
          </w14:textFill>
        </w:rPr>
        <w:t>CLF0124SZ15QY31</w:t>
      </w:r>
    </w:p>
    <w:p>
      <w:pPr>
        <w:ind w:left="420"/>
        <w:rPr>
          <w:rFonts w:hint="eastAsia" w:ascii="仿宋" w:hAnsi="仿宋" w:eastAsia="仿宋"/>
          <w:color w:val="000000" w:themeColor="text1"/>
          <w:sz w:val="28"/>
          <w:szCs w:val="28"/>
          <w:highlight w:val="none"/>
          <w:u w:val="singl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二、项目名称：</w:t>
      </w:r>
      <w:r>
        <w:rPr>
          <w:rFonts w:hint="eastAsia" w:ascii="仿宋" w:hAnsi="仿宋" w:eastAsia="仿宋"/>
          <w:color w:val="000000" w:themeColor="text1"/>
          <w:sz w:val="28"/>
          <w:szCs w:val="28"/>
          <w:highlight w:val="none"/>
          <w:lang w:eastAsia="zh-CN"/>
          <w14:textFill>
            <w14:solidFill>
              <w14:schemeClr w14:val="tx1"/>
            </w14:solidFill>
          </w14:textFill>
        </w:rPr>
        <w:t>仲裁集约送达服务</w:t>
      </w:r>
    </w:p>
    <w:p>
      <w:pPr>
        <w:ind w:left="42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三</w:t>
      </w:r>
      <w:r>
        <w:rPr>
          <w:rFonts w:hint="eastAsia" w:ascii="仿宋" w:hAnsi="仿宋" w:eastAsia="仿宋"/>
          <w:color w:val="000000" w:themeColor="text1"/>
          <w:sz w:val="28"/>
          <w:szCs w:val="28"/>
          <w:highlight w:val="none"/>
          <w14:textFill>
            <w14:solidFill>
              <w14:schemeClr w14:val="tx1"/>
            </w14:solidFill>
          </w14:textFill>
        </w:rPr>
        <w:t>、成交信息</w:t>
      </w:r>
      <w:r>
        <w:rPr>
          <w:rFonts w:hint="eastAsia" w:ascii="仿宋" w:hAnsi="仿宋" w:eastAsia="仿宋"/>
          <w:color w:val="000000" w:themeColor="text1"/>
          <w:sz w:val="28"/>
          <w:szCs w:val="28"/>
          <w:highlight w:val="none"/>
          <w:lang w:val="en-US" w:eastAsia="zh-CN"/>
          <w14:textFill>
            <w14:solidFill>
              <w14:schemeClr w14:val="tx1"/>
            </w14:solidFill>
          </w14:textFill>
        </w:rPr>
        <w:tab/>
      </w:r>
    </w:p>
    <w:p>
      <w:pPr>
        <w:ind w:left="0" w:leftChars="0" w:firstLine="439" w:firstLineChars="157"/>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供应商名称：中国邮政速递物流股份有限公司深圳市分公司</w:t>
      </w:r>
    </w:p>
    <w:p>
      <w:pPr>
        <w:ind w:left="0" w:leftChars="0" w:firstLine="439" w:firstLineChars="157"/>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供应商地址：深圳市福田区沙头街道滨河大道国通大厦主楼第19层</w:t>
      </w:r>
    </w:p>
    <w:p>
      <w:pPr>
        <w:ind w:left="0" w:leftChars="0" w:firstLine="439" w:firstLineChars="157"/>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成交单价：</w:t>
      </w:r>
    </w:p>
    <w:tbl>
      <w:tblPr>
        <w:tblStyle w:val="10"/>
        <w:tblW w:w="45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8"/>
        <w:gridCol w:w="3272"/>
        <w:gridCol w:w="966"/>
        <w:gridCol w:w="966"/>
        <w:gridCol w:w="96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299" w:type="pct"/>
            <w:gridSpan w:val="2"/>
            <w:vMerge w:val="restart"/>
            <w:shd w:val="clear" w:color="auto" w:fill="auto"/>
            <w:vAlign w:val="center"/>
          </w:tcPr>
          <w:p>
            <w:pPr>
              <w:widowControl/>
              <w:snapToGrid w:val="0"/>
              <w:ind w:right="-38" w:rightChars="-18"/>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采购内容</w:t>
            </w:r>
          </w:p>
        </w:tc>
        <w:tc>
          <w:tcPr>
            <w:tcW w:w="1667" w:type="pct"/>
            <w:gridSpan w:val="3"/>
            <w:shd w:val="clear" w:color="auto" w:fill="auto"/>
            <w:vAlign w:val="center"/>
          </w:tcPr>
          <w:p>
            <w:pPr>
              <w:widowControl/>
              <w:snapToGrid w:val="0"/>
              <w:ind w:left="-69" w:leftChars="-33" w:right="-38" w:rightChars="-18"/>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寄达区域成交</w:t>
            </w:r>
            <w:r>
              <w:rPr>
                <w:rFonts w:hint="eastAsia" w:ascii="仿宋" w:hAnsi="仿宋" w:eastAsia="仿宋" w:cs="仿宋"/>
                <w:color w:val="000000" w:themeColor="text1"/>
                <w:sz w:val="28"/>
                <w:szCs w:val="28"/>
                <w:highlight w:val="none"/>
                <w14:textFill>
                  <w14:solidFill>
                    <w14:schemeClr w14:val="tx1"/>
                  </w14:solidFill>
                </w14:textFill>
              </w:rPr>
              <w:t>单价</w:t>
            </w:r>
          </w:p>
          <w:p>
            <w:pPr>
              <w:widowControl/>
              <w:snapToGrid w:val="0"/>
              <w:ind w:left="-69" w:leftChars="-33" w:right="-38" w:rightChars="-18"/>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（元</w:t>
            </w:r>
            <w:r>
              <w:rPr>
                <w:rFonts w:hint="eastAsia" w:ascii="仿宋" w:hAnsi="仿宋" w:eastAsia="仿宋" w:cs="仿宋"/>
                <w:color w:val="000000" w:themeColor="text1"/>
                <w:sz w:val="28"/>
                <w:szCs w:val="28"/>
                <w:highlight w:val="none"/>
                <w:lang w:val="en-US" w:eastAsia="zh-CN"/>
                <w14:textFill>
                  <w14:solidFill>
                    <w14:schemeClr w14:val="tx1"/>
                  </w14:solidFill>
                </w14:textFill>
              </w:rPr>
              <w:t>/次</w:t>
            </w:r>
            <w:r>
              <w:rPr>
                <w:rFonts w:hint="eastAsia" w:ascii="仿宋" w:hAnsi="仿宋" w:eastAsia="仿宋" w:cs="仿宋"/>
                <w:color w:val="000000" w:themeColor="text1"/>
                <w:sz w:val="28"/>
                <w:szCs w:val="28"/>
                <w:highlight w:val="none"/>
                <w14:textFill>
                  <w14:solidFill>
                    <w14:schemeClr w14:val="tx1"/>
                  </w14:solidFill>
                </w14:textFill>
              </w:rPr>
              <w:t>）</w:t>
            </w:r>
          </w:p>
        </w:tc>
        <w:tc>
          <w:tcPr>
            <w:tcW w:w="1032" w:type="pct"/>
            <w:vMerge w:val="restart"/>
            <w:shd w:val="clear" w:color="auto" w:fill="auto"/>
            <w:vAlign w:val="center"/>
          </w:tcPr>
          <w:p>
            <w:pPr>
              <w:widowControl/>
              <w:snapToGrid w:val="0"/>
              <w:ind w:left="-69" w:leftChars="-33" w:right="-38" w:rightChars="-18"/>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成交总报价（人民币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jc w:val="center"/>
        </w:trPr>
        <w:tc>
          <w:tcPr>
            <w:tcW w:w="2299" w:type="pct"/>
            <w:gridSpan w:val="2"/>
            <w:vMerge w:val="continue"/>
            <w:shd w:val="clear" w:color="auto" w:fill="auto"/>
            <w:vAlign w:val="center"/>
          </w:tcPr>
          <w:p>
            <w:pPr>
              <w:widowControl/>
              <w:snapToGrid w:val="0"/>
              <w:ind w:left="-69" w:leftChars="-33" w:right="-38" w:rightChars="-18"/>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555" w:type="pct"/>
            <w:shd w:val="clear" w:color="auto" w:fill="auto"/>
            <w:vAlign w:val="center"/>
          </w:tcPr>
          <w:p>
            <w:pPr>
              <w:jc w:val="center"/>
              <w:rPr>
                <w:rFonts w:hint="eastAsia" w:ascii="仿宋" w:hAnsi="仿宋" w:eastAsia="仿宋" w:cs="仿宋"/>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同城</w:t>
            </w:r>
          </w:p>
        </w:tc>
        <w:tc>
          <w:tcPr>
            <w:tcW w:w="555" w:type="pct"/>
            <w:shd w:val="clear" w:color="auto" w:fill="auto"/>
            <w:vAlign w:val="center"/>
          </w:tcPr>
          <w:p>
            <w:pPr>
              <w:jc w:val="center"/>
              <w:rPr>
                <w:rFonts w:hint="eastAsia" w:ascii="仿宋" w:hAnsi="仿宋" w:eastAsia="仿宋" w:cs="仿宋"/>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省内</w:t>
            </w:r>
          </w:p>
        </w:tc>
        <w:tc>
          <w:tcPr>
            <w:tcW w:w="556" w:type="pct"/>
            <w:shd w:val="clear" w:color="auto" w:fill="auto"/>
            <w:vAlign w:val="center"/>
          </w:tcPr>
          <w:p>
            <w:pPr>
              <w:jc w:val="center"/>
              <w:rPr>
                <w:rFonts w:hint="eastAsia" w:ascii="仿宋" w:hAnsi="仿宋" w:eastAsia="仿宋" w:cs="仿宋"/>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省际</w:t>
            </w:r>
          </w:p>
        </w:tc>
        <w:tc>
          <w:tcPr>
            <w:tcW w:w="1032" w:type="pct"/>
            <w:vMerge w:val="continue"/>
            <w:shd w:val="clear" w:color="auto" w:fill="auto"/>
            <w:vAlign w:val="center"/>
          </w:tcPr>
          <w:p>
            <w:pPr>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18" w:type="pct"/>
            <w:vMerge w:val="restart"/>
            <w:shd w:val="clear" w:color="auto" w:fill="auto"/>
            <w:vAlign w:val="center"/>
          </w:tcPr>
          <w:p>
            <w:pPr>
              <w:ind w:left="-94" w:leftChars="-45" w:right="-69" w:rightChars="-33"/>
              <w:jc w:val="center"/>
              <w:rPr>
                <w:rFonts w:hint="eastAsia" w:ascii="仿宋" w:hAnsi="仿宋" w:eastAsia="仿宋" w:cs="仿宋"/>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邮寄送达</w:t>
            </w:r>
            <w:r>
              <w:rPr>
                <w:rFonts w:hint="eastAsia" w:ascii="仿宋" w:hAnsi="仿宋" w:eastAsia="仿宋" w:cs="仿宋"/>
                <w:color w:val="000000" w:themeColor="text1"/>
                <w:sz w:val="28"/>
                <w:szCs w:val="28"/>
                <w:highlight w:val="none"/>
                <w:lang w:val="en-US" w:eastAsia="zh-CN"/>
                <w14:textFill>
                  <w14:solidFill>
                    <w14:schemeClr w14:val="tx1"/>
                  </w14:solidFill>
                </w14:textFill>
              </w:rPr>
              <w:t>项目</w:t>
            </w:r>
          </w:p>
        </w:tc>
        <w:tc>
          <w:tcPr>
            <w:tcW w:w="1881" w:type="pct"/>
            <w:shd w:val="clear" w:color="auto" w:fill="auto"/>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邮费</w:t>
            </w:r>
          </w:p>
        </w:tc>
        <w:tc>
          <w:tcPr>
            <w:tcW w:w="555" w:type="pct"/>
            <w:shd w:val="clear" w:color="auto" w:fill="auto"/>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15.00</w:t>
            </w:r>
          </w:p>
        </w:tc>
        <w:tc>
          <w:tcPr>
            <w:tcW w:w="555" w:type="pct"/>
            <w:shd w:val="clear" w:color="auto" w:fill="auto"/>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18.00</w:t>
            </w:r>
          </w:p>
        </w:tc>
        <w:tc>
          <w:tcPr>
            <w:tcW w:w="556" w:type="pct"/>
            <w:shd w:val="clear" w:color="auto" w:fill="auto"/>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20.00</w:t>
            </w:r>
          </w:p>
        </w:tc>
        <w:tc>
          <w:tcPr>
            <w:tcW w:w="1032" w:type="pct"/>
            <w:vMerge w:val="restart"/>
            <w:shd w:val="clear" w:color="auto" w:fill="auto"/>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176.60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18" w:type="pct"/>
            <w:vMerge w:val="continue"/>
            <w:shd w:val="clear" w:color="auto" w:fill="auto"/>
            <w:vAlign w:val="center"/>
          </w:tcPr>
          <w:p>
            <w:pPr>
              <w:ind w:left="-94" w:leftChars="-45" w:right="-69" w:rightChars="-33"/>
              <w:jc w:val="center"/>
              <w:rPr>
                <w:rFonts w:hint="eastAsia" w:ascii="仿宋" w:hAnsi="仿宋" w:eastAsia="仿宋" w:cs="仿宋"/>
                <w:color w:val="000000" w:themeColor="text1"/>
                <w:sz w:val="28"/>
                <w:szCs w:val="28"/>
                <w:highlight w:val="none"/>
                <w:lang w:val="en-US" w:eastAsia="zh-CN" w:bidi="ar-SA"/>
                <w14:textFill>
                  <w14:solidFill>
                    <w14:schemeClr w14:val="tx1"/>
                  </w14:solidFill>
                </w14:textFill>
              </w:rPr>
            </w:pPr>
          </w:p>
        </w:tc>
        <w:tc>
          <w:tcPr>
            <w:tcW w:w="1881" w:type="pct"/>
            <w:shd w:val="clear" w:color="auto" w:fill="auto"/>
            <w:vAlign w:val="center"/>
          </w:tcPr>
          <w:p>
            <w:pPr>
              <w:ind w:left="-94" w:leftChars="-45" w:right="-69" w:rightChars="-33"/>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回执资费</w:t>
            </w:r>
          </w:p>
        </w:tc>
        <w:tc>
          <w:tcPr>
            <w:tcW w:w="555" w:type="pct"/>
            <w:shd w:val="clear" w:color="auto" w:fill="auto"/>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5.00</w:t>
            </w:r>
          </w:p>
        </w:tc>
        <w:tc>
          <w:tcPr>
            <w:tcW w:w="555" w:type="pct"/>
            <w:shd w:val="clear" w:color="auto" w:fill="auto"/>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10.00</w:t>
            </w:r>
          </w:p>
        </w:tc>
        <w:tc>
          <w:tcPr>
            <w:tcW w:w="556" w:type="pct"/>
            <w:shd w:val="clear" w:color="auto" w:fill="auto"/>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20.00</w:t>
            </w:r>
          </w:p>
        </w:tc>
        <w:tc>
          <w:tcPr>
            <w:tcW w:w="1032" w:type="pct"/>
            <w:vMerge w:val="continue"/>
            <w:shd w:val="clear" w:color="auto" w:fill="auto"/>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18" w:type="pct"/>
            <w:vMerge w:val="continue"/>
            <w:shd w:val="clear" w:color="auto" w:fill="auto"/>
            <w:vAlign w:val="center"/>
          </w:tcPr>
          <w:p>
            <w:pPr>
              <w:ind w:left="-94" w:leftChars="-45" w:right="-69" w:rightChars="-33"/>
              <w:jc w:val="center"/>
              <w:rPr>
                <w:rFonts w:hint="eastAsia" w:ascii="仿宋" w:hAnsi="仿宋" w:eastAsia="仿宋" w:cs="仿宋"/>
                <w:color w:val="000000" w:themeColor="text1"/>
                <w:sz w:val="28"/>
                <w:szCs w:val="28"/>
                <w:highlight w:val="none"/>
                <w:lang w:val="en-US" w:eastAsia="zh-CN" w:bidi="ar-SA"/>
                <w14:textFill>
                  <w14:solidFill>
                    <w14:schemeClr w14:val="tx1"/>
                  </w14:solidFill>
                </w14:textFill>
              </w:rPr>
            </w:pPr>
          </w:p>
        </w:tc>
        <w:tc>
          <w:tcPr>
            <w:tcW w:w="1881" w:type="pct"/>
            <w:shd w:val="clear" w:color="auto" w:fill="auto"/>
            <w:vAlign w:val="center"/>
          </w:tcPr>
          <w:p>
            <w:pPr>
              <w:ind w:left="-94" w:leftChars="-45" w:right="-69" w:rightChars="-33"/>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基础处理费</w:t>
            </w:r>
          </w:p>
        </w:tc>
        <w:tc>
          <w:tcPr>
            <w:tcW w:w="1667" w:type="pct"/>
            <w:gridSpan w:val="3"/>
            <w:shd w:val="clear" w:color="auto" w:fill="auto"/>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8.00</w:t>
            </w:r>
          </w:p>
        </w:tc>
        <w:tc>
          <w:tcPr>
            <w:tcW w:w="1032" w:type="pct"/>
            <w:vMerge w:val="continue"/>
            <w:shd w:val="clear" w:color="auto" w:fill="auto"/>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299" w:type="pct"/>
            <w:gridSpan w:val="2"/>
            <w:shd w:val="clear" w:color="auto" w:fill="auto"/>
            <w:vAlign w:val="center"/>
          </w:tcPr>
          <w:p>
            <w:pPr>
              <w:ind w:left="-94" w:leftChars="-45" w:right="-69" w:rightChars="-33"/>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非邮寄送达地址的直接送交（深圳市内）</w:t>
            </w:r>
          </w:p>
        </w:tc>
        <w:tc>
          <w:tcPr>
            <w:tcW w:w="1667" w:type="pct"/>
            <w:gridSpan w:val="3"/>
            <w:shd w:val="clear" w:color="auto" w:fill="auto"/>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60.00</w:t>
            </w:r>
          </w:p>
        </w:tc>
        <w:tc>
          <w:tcPr>
            <w:tcW w:w="1032" w:type="pct"/>
            <w:vMerge w:val="continue"/>
            <w:shd w:val="clear" w:color="auto" w:fill="auto"/>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299" w:type="pct"/>
            <w:gridSpan w:val="2"/>
            <w:shd w:val="clear" w:color="auto" w:fill="auto"/>
            <w:vAlign w:val="center"/>
          </w:tcPr>
          <w:p>
            <w:pPr>
              <w:ind w:left="-94" w:leftChars="-45" w:right="-69" w:rightChars="-33"/>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张贴布告/公告（深圳市内）</w:t>
            </w:r>
          </w:p>
        </w:tc>
        <w:tc>
          <w:tcPr>
            <w:tcW w:w="1667" w:type="pct"/>
            <w:gridSpan w:val="3"/>
            <w:shd w:val="clear" w:color="auto" w:fill="auto"/>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20.60</w:t>
            </w:r>
          </w:p>
        </w:tc>
        <w:tc>
          <w:tcPr>
            <w:tcW w:w="1032" w:type="pct"/>
            <w:vMerge w:val="continue"/>
            <w:shd w:val="clear" w:color="auto" w:fill="auto"/>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r>
    </w:tbl>
    <w:p>
      <w:pPr>
        <w:ind w:left="0" w:leftChars="0" w:firstLine="439" w:firstLineChars="157"/>
        <w:rPr>
          <w:rFonts w:hint="default"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最高支付上限：人民币989,794.00元/年</w:t>
      </w:r>
    </w:p>
    <w:p>
      <w:pPr>
        <w:ind w:left="42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四</w:t>
      </w:r>
      <w:r>
        <w:rPr>
          <w:rFonts w:hint="eastAsia" w:ascii="仿宋" w:hAnsi="仿宋" w:eastAsia="仿宋"/>
          <w:color w:val="000000" w:themeColor="text1"/>
          <w:sz w:val="28"/>
          <w:szCs w:val="28"/>
          <w:highlight w:val="none"/>
          <w14:textFill>
            <w14:solidFill>
              <w14:schemeClr w14:val="tx1"/>
            </w14:solidFill>
          </w14:textFill>
        </w:rPr>
        <w:t>、主要标的信息</w:t>
      </w:r>
    </w:p>
    <w:tbl>
      <w:tblPr>
        <w:tblStyle w:val="11"/>
        <w:tblW w:w="6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7" w:type="dxa"/>
          </w:tcPr>
          <w:p>
            <w:pPr>
              <w:jc w:val="center"/>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7" w:type="dxa"/>
          </w:tcPr>
          <w:p>
            <w:pP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名称：仲裁集约送达服务</w:t>
            </w:r>
          </w:p>
          <w:p>
            <w:pPr>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服务范围：</w:t>
            </w:r>
            <w:r>
              <w:rPr>
                <w:rFonts w:hint="eastAsia" w:ascii="仿宋" w:hAnsi="仿宋" w:eastAsia="仿宋"/>
                <w:color w:val="000000" w:themeColor="text1"/>
                <w:kern w:val="0"/>
                <w:sz w:val="28"/>
                <w:szCs w:val="28"/>
                <w:highlight w:val="none"/>
                <w:lang w:eastAsia="zh-CN"/>
                <w14:textFill>
                  <w14:solidFill>
                    <w14:schemeClr w14:val="tx1"/>
                  </w14:solidFill>
                </w14:textFill>
              </w:rPr>
              <w:t>详见谈判文件</w:t>
            </w:r>
          </w:p>
          <w:p>
            <w:pPr>
              <w:rPr>
                <w:rFonts w:ascii="仿宋" w:hAnsi="仿宋" w:eastAsia="仿宋"/>
                <w:color w:val="000000" w:themeColor="text1"/>
                <w:kern w:val="0"/>
                <w:sz w:val="28"/>
                <w:szCs w:val="28"/>
                <w:highlight w:val="none"/>
                <w:u w:val="singl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服务要求：</w:t>
            </w:r>
            <w:r>
              <w:rPr>
                <w:rFonts w:hint="eastAsia" w:ascii="仿宋" w:hAnsi="仿宋" w:eastAsia="仿宋"/>
                <w:color w:val="000000" w:themeColor="text1"/>
                <w:kern w:val="0"/>
                <w:sz w:val="28"/>
                <w:szCs w:val="28"/>
                <w:highlight w:val="none"/>
                <w:lang w:eastAsia="zh-CN"/>
                <w14:textFill>
                  <w14:solidFill>
                    <w14:schemeClr w14:val="tx1"/>
                  </w14:solidFill>
                </w14:textFill>
              </w:rPr>
              <w:t>详见谈判文件</w:t>
            </w:r>
          </w:p>
          <w:p>
            <w:pPr>
              <w:rPr>
                <w:rFonts w:ascii="仿宋" w:hAnsi="仿宋" w:eastAsia="仿宋"/>
                <w:color w:val="000000" w:themeColor="text1"/>
                <w:kern w:val="0"/>
                <w:sz w:val="28"/>
                <w:szCs w:val="28"/>
                <w:highlight w:val="none"/>
                <w:u w:val="singl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服务时间：</w:t>
            </w:r>
            <w:r>
              <w:rPr>
                <w:rFonts w:hint="eastAsia" w:ascii="仿宋" w:hAnsi="仿宋" w:eastAsia="仿宋"/>
                <w:color w:val="000000" w:themeColor="text1"/>
                <w:kern w:val="0"/>
                <w:sz w:val="28"/>
                <w:szCs w:val="28"/>
                <w:highlight w:val="none"/>
                <w:lang w:eastAsia="zh-CN"/>
                <w14:textFill>
                  <w14:solidFill>
                    <w14:schemeClr w14:val="tx1"/>
                  </w14:solidFill>
                </w14:textFill>
              </w:rPr>
              <w:t>详见谈判文件</w:t>
            </w:r>
          </w:p>
          <w:p>
            <w:pPr>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服务标准：</w:t>
            </w:r>
            <w:r>
              <w:rPr>
                <w:rFonts w:hint="eastAsia" w:ascii="仿宋" w:hAnsi="仿宋" w:eastAsia="仿宋"/>
                <w:color w:val="000000" w:themeColor="text1"/>
                <w:kern w:val="0"/>
                <w:sz w:val="28"/>
                <w:szCs w:val="28"/>
                <w:highlight w:val="none"/>
                <w:lang w:eastAsia="zh-CN"/>
                <w14:textFill>
                  <w14:solidFill>
                    <w14:schemeClr w14:val="tx1"/>
                  </w14:solidFill>
                </w14:textFill>
              </w:rPr>
              <w:t>详见谈判文件</w:t>
            </w:r>
          </w:p>
        </w:tc>
      </w:tr>
    </w:tbl>
    <w:p>
      <w:pPr>
        <w:numPr>
          <w:ilvl w:val="0"/>
          <w:numId w:val="0"/>
        </w:numPr>
        <w:ind w:left="420" w:leftChars="0"/>
        <w:rPr>
          <w:rFonts w:hint="default" w:ascii="仿宋" w:hAnsi="仿宋" w:eastAsia="仿宋"/>
          <w:i/>
          <w:iCs/>
          <w:color w:val="000000" w:themeColor="text1"/>
          <w:sz w:val="28"/>
          <w:szCs w:val="28"/>
          <w:highlight w:val="none"/>
          <w:lang w:val="en-US"/>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五、</w:t>
      </w:r>
      <w:r>
        <w:rPr>
          <w:rFonts w:hint="eastAsia" w:ascii="仿宋" w:hAnsi="仿宋" w:eastAsia="仿宋"/>
          <w:color w:val="000000" w:themeColor="text1"/>
          <w:sz w:val="28"/>
          <w:szCs w:val="28"/>
          <w:highlight w:val="none"/>
          <w14:textFill>
            <w14:solidFill>
              <w14:schemeClr w14:val="tx1"/>
            </w14:solidFill>
          </w14:textFill>
        </w:rPr>
        <w:t>谈判小组成员名单：朱彤</w:t>
      </w:r>
      <w:r>
        <w:rPr>
          <w:rFonts w:hint="eastAsia" w:ascii="仿宋" w:hAnsi="仿宋" w:eastAsia="仿宋"/>
          <w:color w:val="000000" w:themeColor="text1"/>
          <w:sz w:val="28"/>
          <w:szCs w:val="28"/>
          <w:highlight w:val="none"/>
          <w:lang w:eastAsia="zh-CN"/>
          <w14:textFill>
            <w14:solidFill>
              <w14:schemeClr w14:val="tx1"/>
            </w14:solidFill>
          </w14:textFill>
        </w:rPr>
        <w:t>、刘贵丹、</w:t>
      </w:r>
      <w:r>
        <w:rPr>
          <w:rFonts w:hint="eastAsia" w:ascii="仿宋" w:hAnsi="仿宋" w:eastAsia="仿宋"/>
          <w:color w:val="000000" w:themeColor="text1"/>
          <w:sz w:val="28"/>
          <w:szCs w:val="28"/>
          <w:highlight w:val="none"/>
          <w:lang w:val="en-US" w:eastAsia="zh-CN"/>
          <w14:textFill>
            <w14:solidFill>
              <w14:schemeClr w14:val="tx1"/>
            </w14:solidFill>
          </w14:textFill>
        </w:rPr>
        <w:t>黄思伟</w:t>
      </w:r>
    </w:p>
    <w:p>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六</w:t>
      </w:r>
      <w:r>
        <w:rPr>
          <w:rFonts w:hint="eastAsia" w:ascii="仿宋" w:hAnsi="仿宋" w:eastAsia="仿宋"/>
          <w:color w:val="000000" w:themeColor="text1"/>
          <w:sz w:val="28"/>
          <w:szCs w:val="28"/>
          <w:highlight w:val="none"/>
          <w14:textFill>
            <w14:solidFill>
              <w14:schemeClr w14:val="tx1"/>
            </w14:solidFill>
          </w14:textFill>
        </w:rPr>
        <w:t>、代理服务收费标准及金额：按《深圳市财政委员会关于规范深圳市社会采购代理机构管理有关事项的补充通知》（深财购〔2018〕27号）代理费用参考标准规定的“服务类”计费标准下浮13 %计算并缴纳，当中标金额小于50万元时，按50万元为基数计算收取</w:t>
      </w:r>
      <w:r>
        <w:rPr>
          <w:rFonts w:hint="eastAsia" w:ascii="仿宋" w:hAnsi="仿宋" w:eastAsia="仿宋" w:cs="宋体"/>
          <w:color w:val="000000" w:themeColor="text1"/>
          <w:kern w:val="0"/>
          <w:sz w:val="28"/>
          <w:szCs w:val="28"/>
          <w:highlight w:val="none"/>
          <w14:textFill>
            <w14:solidFill>
              <w14:schemeClr w14:val="tx1"/>
            </w14:solidFill>
          </w14:textFill>
        </w:rPr>
        <w:t>；人民币12916元。</w:t>
      </w:r>
    </w:p>
    <w:p>
      <w:pPr>
        <w:ind w:left="42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七</w:t>
      </w:r>
      <w:r>
        <w:rPr>
          <w:rFonts w:hint="eastAsia" w:ascii="仿宋" w:hAnsi="仿宋" w:eastAsia="仿宋"/>
          <w:color w:val="000000" w:themeColor="text1"/>
          <w:sz w:val="28"/>
          <w:szCs w:val="28"/>
          <w:highlight w:val="none"/>
          <w14:textFill>
            <w14:solidFill>
              <w14:schemeClr w14:val="tx1"/>
            </w14:solidFill>
          </w14:textFill>
        </w:rPr>
        <w:t>、公示期限</w:t>
      </w:r>
    </w:p>
    <w:p>
      <w:pPr>
        <w:ind w:firstLine="560" w:firstLineChars="20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u w:val="none"/>
          <w:lang w:val="en-US" w:eastAsia="zh-CN"/>
          <w14:textFill>
            <w14:solidFill>
              <w14:schemeClr w14:val="tx1"/>
            </w14:solidFill>
          </w14:textFill>
        </w:rPr>
        <w:t>2024</w:t>
      </w:r>
      <w:r>
        <w:rPr>
          <w:rFonts w:hint="eastAsia" w:ascii="仿宋" w:hAnsi="仿宋" w:eastAsia="仿宋"/>
          <w:color w:val="000000" w:themeColor="text1"/>
          <w:sz w:val="28"/>
          <w:szCs w:val="28"/>
          <w:highlight w:val="none"/>
          <w:u w:val="none"/>
          <w14:textFill>
            <w14:solidFill>
              <w14:schemeClr w14:val="tx1"/>
            </w14:solidFill>
          </w14:textFill>
        </w:rPr>
        <w:t>年</w:t>
      </w:r>
      <w:r>
        <w:rPr>
          <w:rFonts w:hint="eastAsia" w:ascii="仿宋" w:hAnsi="仿宋" w:eastAsia="仿宋"/>
          <w:color w:val="000000" w:themeColor="text1"/>
          <w:sz w:val="28"/>
          <w:szCs w:val="28"/>
          <w:highlight w:val="none"/>
          <w:u w:val="none"/>
          <w:lang w:val="en-US" w:eastAsia="zh-CN"/>
          <w14:textFill>
            <w14:solidFill>
              <w14:schemeClr w14:val="tx1"/>
            </w14:solidFill>
          </w14:textFill>
        </w:rPr>
        <w:t>12</w:t>
      </w:r>
      <w:r>
        <w:rPr>
          <w:rFonts w:hint="eastAsia" w:ascii="仿宋" w:hAnsi="仿宋" w:eastAsia="仿宋"/>
          <w:color w:val="000000" w:themeColor="text1"/>
          <w:sz w:val="28"/>
          <w:szCs w:val="28"/>
          <w:highlight w:val="none"/>
          <w:u w:val="none"/>
          <w14:textFill>
            <w14:solidFill>
              <w14:schemeClr w14:val="tx1"/>
            </w14:solidFill>
          </w14:textFill>
        </w:rPr>
        <w:t>月</w:t>
      </w:r>
      <w:r>
        <w:rPr>
          <w:rFonts w:hint="eastAsia" w:ascii="仿宋" w:hAnsi="仿宋" w:eastAsia="仿宋"/>
          <w:color w:val="000000" w:themeColor="text1"/>
          <w:sz w:val="28"/>
          <w:szCs w:val="28"/>
          <w:highlight w:val="none"/>
          <w:u w:val="none"/>
          <w:lang w:val="en-US" w:eastAsia="zh-CN"/>
          <w14:textFill>
            <w14:solidFill>
              <w14:schemeClr w14:val="tx1"/>
            </w14:solidFill>
          </w14:textFill>
        </w:rPr>
        <w:t>7</w:t>
      </w:r>
      <w:r>
        <w:rPr>
          <w:rFonts w:hint="eastAsia" w:ascii="仿宋" w:hAnsi="仿宋" w:eastAsia="仿宋"/>
          <w:color w:val="000000" w:themeColor="text1"/>
          <w:sz w:val="28"/>
          <w:szCs w:val="28"/>
          <w:highlight w:val="none"/>
          <w:u w:val="none"/>
          <w14:textFill>
            <w14:solidFill>
              <w14:schemeClr w14:val="tx1"/>
            </w14:solidFill>
          </w14:textFill>
        </w:rPr>
        <w:t>日至</w:t>
      </w:r>
      <w:r>
        <w:rPr>
          <w:rFonts w:hint="eastAsia" w:ascii="仿宋" w:hAnsi="仿宋" w:eastAsia="仿宋"/>
          <w:color w:val="000000" w:themeColor="text1"/>
          <w:sz w:val="28"/>
          <w:szCs w:val="28"/>
          <w:highlight w:val="none"/>
          <w:u w:val="none"/>
          <w:lang w:val="en-US" w:eastAsia="zh-CN"/>
          <w14:textFill>
            <w14:solidFill>
              <w14:schemeClr w14:val="tx1"/>
            </w14:solidFill>
          </w14:textFill>
        </w:rPr>
        <w:t>2024</w:t>
      </w:r>
      <w:r>
        <w:rPr>
          <w:rFonts w:hint="eastAsia" w:ascii="仿宋" w:hAnsi="仿宋" w:eastAsia="仿宋"/>
          <w:color w:val="000000" w:themeColor="text1"/>
          <w:sz w:val="28"/>
          <w:szCs w:val="28"/>
          <w:highlight w:val="none"/>
          <w:u w:val="none"/>
          <w14:textFill>
            <w14:solidFill>
              <w14:schemeClr w14:val="tx1"/>
            </w14:solidFill>
          </w14:textFill>
        </w:rPr>
        <w:t>年</w:t>
      </w:r>
      <w:r>
        <w:rPr>
          <w:rFonts w:hint="eastAsia" w:ascii="仿宋" w:hAnsi="仿宋" w:eastAsia="仿宋"/>
          <w:color w:val="000000" w:themeColor="text1"/>
          <w:sz w:val="28"/>
          <w:szCs w:val="28"/>
          <w:highlight w:val="none"/>
          <w:u w:val="none"/>
          <w:lang w:val="en-US" w:eastAsia="zh-CN"/>
          <w14:textFill>
            <w14:solidFill>
              <w14:schemeClr w14:val="tx1"/>
            </w14:solidFill>
          </w14:textFill>
        </w:rPr>
        <w:t>12</w:t>
      </w:r>
      <w:r>
        <w:rPr>
          <w:rFonts w:hint="eastAsia" w:ascii="仿宋" w:hAnsi="仿宋" w:eastAsia="仿宋"/>
          <w:color w:val="000000" w:themeColor="text1"/>
          <w:sz w:val="28"/>
          <w:szCs w:val="28"/>
          <w:highlight w:val="none"/>
          <w:u w:val="none"/>
          <w14:textFill>
            <w14:solidFill>
              <w14:schemeClr w14:val="tx1"/>
            </w14:solidFill>
          </w14:textFill>
        </w:rPr>
        <w:t>月</w:t>
      </w:r>
      <w:r>
        <w:rPr>
          <w:rFonts w:hint="eastAsia" w:ascii="仿宋" w:hAnsi="仿宋" w:eastAsia="仿宋"/>
          <w:color w:val="000000" w:themeColor="text1"/>
          <w:sz w:val="28"/>
          <w:szCs w:val="28"/>
          <w:highlight w:val="none"/>
          <w:u w:val="none"/>
          <w:lang w:val="en-US" w:eastAsia="zh-CN"/>
          <w14:textFill>
            <w14:solidFill>
              <w14:schemeClr w14:val="tx1"/>
            </w14:solidFill>
          </w14:textFill>
        </w:rPr>
        <w:t>9</w:t>
      </w:r>
      <w:r>
        <w:rPr>
          <w:rFonts w:hint="eastAsia" w:ascii="仿宋" w:hAnsi="仿宋" w:eastAsia="仿宋"/>
          <w:color w:val="000000" w:themeColor="text1"/>
          <w:sz w:val="28"/>
          <w:szCs w:val="28"/>
          <w:highlight w:val="none"/>
          <w:u w:val="none"/>
          <w14:textFill>
            <w14:solidFill>
              <w14:schemeClr w14:val="tx1"/>
            </w14:solidFill>
          </w14:textFill>
        </w:rPr>
        <w:t>日</w:t>
      </w:r>
      <w:r>
        <w:rPr>
          <w:rFonts w:hint="eastAsia" w:ascii="仿宋" w:hAnsi="仿宋" w:eastAsia="仿宋" w:cs="宋体"/>
          <w:color w:val="000000" w:themeColor="text1"/>
          <w:kern w:val="0"/>
          <w:sz w:val="28"/>
          <w:szCs w:val="28"/>
          <w:highlight w:val="none"/>
          <w14:textFill>
            <w14:solidFill>
              <w14:schemeClr w14:val="tx1"/>
            </w14:solidFill>
          </w14:textFill>
        </w:rPr>
        <w:t>。</w:t>
      </w:r>
    </w:p>
    <w:p>
      <w:pPr>
        <w:ind w:left="42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、其他补充事宜</w:t>
      </w:r>
    </w:p>
    <w:p>
      <w:pPr>
        <w:ind w:firstLine="280" w:firstLineChars="100"/>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（一）供应商质疑</w:t>
      </w:r>
    </w:p>
    <w:p>
      <w:pPr>
        <w:widowControl/>
        <w:ind w:firstLine="560" w:firstLineChars="200"/>
        <w:jc w:val="left"/>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kern w:val="0"/>
          <w:sz w:val="28"/>
          <w:szCs w:val="28"/>
          <w:highlight w:val="none"/>
          <w14:textFill>
            <w14:solidFill>
              <w14:schemeClr w14:val="tx1"/>
            </w14:solidFill>
          </w14:textFill>
        </w:rPr>
        <w:t>供应商认为中标或者成交结果使自己的权益受到损害的</w:t>
      </w:r>
      <w:r>
        <w:rPr>
          <w:rFonts w:hint="eastAsia" w:ascii="仿宋" w:hAnsi="仿宋" w:eastAsia="仿宋"/>
          <w:color w:val="000000" w:themeColor="text1"/>
          <w:kern w:val="0"/>
          <w:sz w:val="28"/>
          <w:szCs w:val="28"/>
          <w:highlight w:val="none"/>
          <w14:textFill>
            <w14:solidFill>
              <w14:schemeClr w14:val="tx1"/>
            </w14:solidFill>
          </w14:textFill>
        </w:rPr>
        <w:t>，应当自本公告发布之日起七个工作日内</w:t>
      </w:r>
      <w:bookmarkStart w:id="0" w:name="_Hlk27380774"/>
      <w:r>
        <w:rPr>
          <w:rFonts w:hint="eastAsia" w:ascii="仿宋" w:hAnsi="仿宋" w:eastAsia="仿宋"/>
          <w:color w:val="000000" w:themeColor="text1"/>
          <w:kern w:val="0"/>
          <w:sz w:val="28"/>
          <w:szCs w:val="28"/>
          <w:highlight w:val="none"/>
          <w14:textFill>
            <w14:solidFill>
              <w14:schemeClr w14:val="tx1"/>
            </w14:solidFill>
          </w14:textFill>
        </w:rPr>
        <w:t>以书面形式向采联国际招标采购集团有限公司（或采购人）提出质疑，逾期将依法不予受理。</w:t>
      </w:r>
      <w:bookmarkEnd w:id="0"/>
    </w:p>
    <w:p>
      <w:pPr>
        <w:spacing w:line="360" w:lineRule="auto"/>
        <w:ind w:firstLine="280" w:firstLineChars="100"/>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（二）</w:t>
      </w:r>
      <w:r>
        <w:rPr>
          <w:rFonts w:hint="eastAsia" w:ascii="仿宋" w:hAnsi="仿宋" w:eastAsia="仿宋" w:cs="宋体"/>
          <w:color w:val="000000" w:themeColor="text1"/>
          <w:sz w:val="28"/>
          <w:szCs w:val="28"/>
          <w:highlight w:val="none"/>
          <w14:textFill>
            <w14:solidFill>
              <w14:schemeClr w14:val="tx1"/>
            </w14:solidFill>
          </w14:textFill>
        </w:rPr>
        <w:t>本项目相关公告在以下媒体发布:</w:t>
      </w:r>
    </w:p>
    <w:p>
      <w:pPr>
        <w:widowControl/>
        <w:wordWrap w:val="0"/>
        <w:ind w:firstLine="560" w:firstLineChars="200"/>
        <w:jc w:val="left"/>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1.法定媒体：深圳政府采购自行采购系统网站（https://zxcg.szggzy.com/home/index.html）。相关公告在法定媒体上公布之日即视为有效送达，不再另行通知。</w:t>
      </w:r>
    </w:p>
    <w:p>
      <w:pPr>
        <w:widowControl/>
        <w:wordWrap w:val="0"/>
        <w:ind w:firstLine="560" w:firstLineChars="200"/>
        <w:jc w:val="left"/>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2.深圳市人力资源和社会保障局官网（http：//hrss.sz.gov.cn/）、采购代理机构网站（www.chinapsp.cn）。</w:t>
      </w:r>
    </w:p>
    <w:p>
      <w:pPr>
        <w:widowControl/>
        <w:wordWrap w:val="0"/>
        <w:ind w:firstLine="560" w:firstLineChars="200"/>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3.以上媒体公告内容不一致的，以深圳政府采购自行采购系统网站（https://zxcg.szggzy.com/home/index.html）的公告内容为准。</w:t>
      </w:r>
    </w:p>
    <w:p>
      <w:pPr>
        <w:ind w:left="42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九</w:t>
      </w:r>
      <w:r>
        <w:rPr>
          <w:rFonts w:hint="eastAsia" w:ascii="仿宋" w:hAnsi="仿宋" w:eastAsia="仿宋" w:cs="宋体"/>
          <w:color w:val="000000" w:themeColor="text1"/>
          <w:kern w:val="0"/>
          <w:sz w:val="28"/>
          <w:szCs w:val="28"/>
          <w:highlight w:val="none"/>
          <w14:textFill>
            <w14:solidFill>
              <w14:schemeClr w14:val="tx1"/>
            </w14:solidFill>
          </w14:textFill>
        </w:rPr>
        <w:t>、凡对本次公告内容提出询问，请按以下方式联系。</w:t>
      </w:r>
    </w:p>
    <w:p>
      <w:pPr>
        <w:adjustRightInd w:val="0"/>
        <w:snapToGrid w:val="0"/>
        <w:spacing w:line="360" w:lineRule="auto"/>
        <w:ind w:left="1121" w:leftChars="238" w:hanging="621" w:hangingChars="222"/>
        <w:jc w:val="left"/>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（一）采购人信息</w:t>
      </w:r>
    </w:p>
    <w:p>
      <w:pPr>
        <w:adjustRightInd w:val="0"/>
        <w:snapToGrid w:val="0"/>
        <w:spacing w:line="360" w:lineRule="auto"/>
        <w:ind w:left="1121" w:leftChars="238" w:hanging="621" w:hangingChars="222"/>
        <w:jc w:val="left"/>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名称：</w:t>
      </w:r>
      <w:r>
        <w:rPr>
          <w:rFonts w:hint="eastAsia" w:ascii="仿宋" w:hAnsi="仿宋" w:eastAsia="仿宋" w:cs="宋体"/>
          <w:bCs/>
          <w:color w:val="000000" w:themeColor="text1"/>
          <w:kern w:val="0"/>
          <w:sz w:val="28"/>
          <w:szCs w:val="28"/>
          <w:highlight w:val="none"/>
          <w:lang w:eastAsia="zh-CN"/>
          <w14:textFill>
            <w14:solidFill>
              <w14:schemeClr w14:val="tx1"/>
            </w14:solidFill>
          </w14:textFill>
        </w:rPr>
        <w:t>深圳市劳动人事争议仲裁院</w:t>
      </w:r>
    </w:p>
    <w:p>
      <w:pPr>
        <w:adjustRightInd w:val="0"/>
        <w:snapToGrid w:val="0"/>
        <w:spacing w:line="360" w:lineRule="auto"/>
        <w:ind w:left="1121" w:leftChars="238" w:hanging="621" w:hangingChars="222"/>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bookmarkStart w:id="1" w:name="_Toc28359086"/>
      <w:bookmarkStart w:id="2" w:name="_Toc28359009"/>
      <w:r>
        <w:rPr>
          <w:rFonts w:hint="eastAsia" w:ascii="仿宋" w:hAnsi="仿宋" w:eastAsia="仿宋"/>
          <w:color w:val="000000" w:themeColor="text1"/>
          <w:sz w:val="28"/>
          <w:szCs w:val="28"/>
          <w:highlight w:val="none"/>
          <w14:textFill>
            <w14:solidFill>
              <w14:schemeClr w14:val="tx1"/>
            </w14:solidFill>
          </w14:textFill>
        </w:rPr>
        <w:t>深圳市福田区深南大道8005号深圳人才园裙楼1楼（福田交通枢纽西侧）</w:t>
      </w:r>
    </w:p>
    <w:p>
      <w:pPr>
        <w:adjustRightInd w:val="0"/>
        <w:snapToGrid w:val="0"/>
        <w:spacing w:line="360" w:lineRule="auto"/>
        <w:ind w:left="1121" w:leftChars="238" w:hanging="621" w:hangingChars="222"/>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w:t>
      </w:r>
      <w:r>
        <w:rPr>
          <w:rFonts w:hint="eastAsia" w:ascii="仿宋" w:hAnsi="仿宋" w:eastAsia="仿宋" w:cs="宋体"/>
          <w:color w:val="000000" w:themeColor="text1"/>
          <w:sz w:val="28"/>
          <w:szCs w:val="28"/>
          <w:highlight w:val="none"/>
          <w:lang w:eastAsia="zh-CN"/>
          <w14:textFill>
            <w14:solidFill>
              <w14:schemeClr w14:val="tx1"/>
            </w14:solidFill>
          </w14:textFill>
        </w:rPr>
        <w:t>二</w:t>
      </w:r>
      <w:r>
        <w:rPr>
          <w:rFonts w:hint="eastAsia" w:ascii="仿宋" w:hAnsi="仿宋" w:eastAsia="仿宋" w:cs="宋体"/>
          <w:color w:val="000000" w:themeColor="text1"/>
          <w:sz w:val="28"/>
          <w:szCs w:val="28"/>
          <w:highlight w:val="none"/>
          <w14:textFill>
            <w14:solidFill>
              <w14:schemeClr w14:val="tx1"/>
            </w14:solidFill>
          </w14:textFill>
        </w:rPr>
        <w:t>）采购代理机构</w:t>
      </w:r>
      <w:bookmarkEnd w:id="1"/>
      <w:bookmarkEnd w:id="2"/>
    </w:p>
    <w:p>
      <w:pPr>
        <w:adjustRightInd w:val="0"/>
        <w:snapToGrid w:val="0"/>
        <w:spacing w:line="360" w:lineRule="auto"/>
        <w:ind w:left="1121" w:leftChars="238" w:hanging="621" w:hangingChars="22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名称：</w:t>
      </w:r>
      <w:r>
        <w:rPr>
          <w:rFonts w:hint="eastAsia" w:ascii="仿宋" w:hAnsi="仿宋" w:eastAsia="仿宋" w:cs="宋体"/>
          <w:color w:val="000000" w:themeColor="text1"/>
          <w:sz w:val="28"/>
          <w:szCs w:val="28"/>
          <w:highlight w:val="none"/>
          <w14:textFill>
            <w14:solidFill>
              <w14:schemeClr w14:val="tx1"/>
            </w14:solidFill>
          </w14:textFill>
        </w:rPr>
        <w:t>采联国际招标采购集团有限公司</w:t>
      </w:r>
    </w:p>
    <w:p>
      <w:pPr>
        <w:adjustRightInd w:val="0"/>
        <w:snapToGrid w:val="0"/>
        <w:spacing w:line="360" w:lineRule="auto"/>
        <w:ind w:left="97" w:leftChars="46" w:firstLine="442" w:firstLineChars="158"/>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地址：深圳市福田区竹子林中国经贸大厦</w:t>
      </w:r>
      <w:bookmarkStart w:id="3" w:name="_Toc28359010"/>
      <w:bookmarkStart w:id="4" w:name="_Toc28359087"/>
      <w:r>
        <w:rPr>
          <w:rFonts w:hint="eastAsia" w:ascii="仿宋" w:hAnsi="仿宋" w:eastAsia="仿宋"/>
          <w:color w:val="000000" w:themeColor="text1"/>
          <w:sz w:val="28"/>
          <w:szCs w:val="28"/>
          <w:highlight w:val="none"/>
          <w14:textFill>
            <w14:solidFill>
              <w14:schemeClr w14:val="tx1"/>
            </w14:solidFill>
          </w14:textFill>
        </w:rPr>
        <w:t>10楼采联国际招标采购集团有限公司深圳分公司</w:t>
      </w:r>
    </w:p>
    <w:p>
      <w:pPr>
        <w:adjustRightInd w:val="0"/>
        <w:snapToGrid w:val="0"/>
        <w:spacing w:line="360" w:lineRule="auto"/>
        <w:ind w:left="1121" w:leftChars="238" w:hanging="621" w:hangingChars="222"/>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w:t>
      </w:r>
      <w:r>
        <w:rPr>
          <w:rFonts w:hint="eastAsia" w:ascii="仿宋" w:hAnsi="仿宋" w:eastAsia="仿宋" w:cs="宋体"/>
          <w:color w:val="000000" w:themeColor="text1"/>
          <w:sz w:val="28"/>
          <w:szCs w:val="28"/>
          <w:highlight w:val="none"/>
          <w:lang w:eastAsia="zh-CN"/>
          <w14:textFill>
            <w14:solidFill>
              <w14:schemeClr w14:val="tx1"/>
            </w14:solidFill>
          </w14:textFill>
        </w:rPr>
        <w:t>三</w:t>
      </w:r>
      <w:r>
        <w:rPr>
          <w:rFonts w:hint="eastAsia" w:ascii="仿宋" w:hAnsi="仿宋" w:eastAsia="仿宋" w:cs="宋体"/>
          <w:color w:val="000000" w:themeColor="text1"/>
          <w:sz w:val="28"/>
          <w:szCs w:val="28"/>
          <w:highlight w:val="none"/>
          <w14:textFill>
            <w14:solidFill>
              <w14:schemeClr w14:val="tx1"/>
            </w14:solidFill>
          </w14:textFill>
        </w:rPr>
        <w:t>）项目</w:t>
      </w:r>
      <w:r>
        <w:rPr>
          <w:rFonts w:ascii="仿宋" w:hAnsi="仿宋" w:eastAsia="仿宋" w:cs="宋体"/>
          <w:color w:val="000000" w:themeColor="text1"/>
          <w:sz w:val="28"/>
          <w:szCs w:val="28"/>
          <w:highlight w:val="none"/>
          <w14:textFill>
            <w14:solidFill>
              <w14:schemeClr w14:val="tx1"/>
            </w14:solidFill>
          </w14:textFill>
        </w:rPr>
        <w:t>联系方式</w:t>
      </w:r>
      <w:bookmarkEnd w:id="3"/>
      <w:bookmarkEnd w:id="4"/>
    </w:p>
    <w:p>
      <w:pPr>
        <w:pStyle w:val="5"/>
        <w:adjustRightInd w:val="0"/>
        <w:snapToGrid w:val="0"/>
        <w:spacing w:line="360" w:lineRule="auto"/>
        <w:ind w:left="1119" w:leftChars="266" w:hanging="560" w:hanging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项目联系人：</w:t>
      </w:r>
      <w:r>
        <w:rPr>
          <w:rFonts w:hint="eastAsia" w:ascii="仿宋" w:hAnsi="仿宋" w:eastAsia="仿宋" w:cs="宋体"/>
          <w:color w:val="000000" w:themeColor="text1"/>
          <w:sz w:val="28"/>
          <w:szCs w:val="28"/>
          <w:highlight w:val="none"/>
          <w:lang w:val="en-US" w:eastAsia="zh-CN"/>
          <w14:textFill>
            <w14:solidFill>
              <w14:schemeClr w14:val="tx1"/>
            </w14:solidFill>
          </w14:textFill>
        </w:rPr>
        <w:t>颜先生</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　话：0755-8837757</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转23</w:t>
      </w:r>
      <w:r>
        <w:rPr>
          <w:rFonts w:hint="eastAsia" w:ascii="仿宋" w:hAnsi="仿宋" w:eastAsia="仿宋"/>
          <w:color w:val="000000" w:themeColor="text1"/>
          <w:sz w:val="28"/>
          <w:szCs w:val="28"/>
          <w:highlight w:val="none"/>
          <w:lang w:val="en-US" w:eastAsia="zh-CN"/>
          <w14:textFill>
            <w14:solidFill>
              <w14:schemeClr w14:val="tx1"/>
            </w14:solidFill>
          </w14:textFill>
        </w:rPr>
        <w:t>36</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 xml:space="preserve">备用联系人：邱小姐 </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color w:val="000000" w:themeColor="text1"/>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备用联系电话：0755-88377572转2324</w:t>
      </w:r>
    </w:p>
    <w:p>
      <w:pPr>
        <w:adjustRightInd w:val="0"/>
        <w:snapToGrid w:val="0"/>
        <w:spacing w:line="360" w:lineRule="auto"/>
        <w:ind w:left="1119" w:leftChars="266" w:hanging="560" w:hanging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邮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编：518040</w:t>
      </w:r>
    </w:p>
    <w:p>
      <w:pPr>
        <w:adjustRightInd w:val="0"/>
        <w:snapToGrid w:val="0"/>
        <w:spacing w:line="360" w:lineRule="auto"/>
        <w:ind w:left="1119" w:leftChars="266" w:hanging="560" w:hanging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邮 箱：cailiansz@126.com</w:t>
      </w:r>
    </w:p>
    <w:p>
      <w:pPr>
        <w:widowControl/>
        <w:ind w:left="42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十</w:t>
      </w:r>
      <w:r>
        <w:rPr>
          <w:rFonts w:hint="eastAsia" w:ascii="仿宋" w:hAnsi="仿宋" w:eastAsia="仿宋" w:cs="宋体"/>
          <w:color w:val="000000" w:themeColor="text1"/>
          <w:kern w:val="0"/>
          <w:sz w:val="28"/>
          <w:szCs w:val="28"/>
          <w:highlight w:val="none"/>
          <w14:textFill>
            <w14:solidFill>
              <w14:schemeClr w14:val="tx1"/>
            </w14:solidFill>
          </w14:textFill>
        </w:rPr>
        <w:t>、附件（可在采购代理机构（www.chinapsp.cn）网站查看）</w:t>
      </w:r>
    </w:p>
    <w:p>
      <w:pPr>
        <w:ind w:left="57" w:leftChars="27" w:firstLine="439" w:firstLineChars="157"/>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（一）</w:t>
      </w:r>
      <w:r>
        <w:rPr>
          <w:rFonts w:hint="eastAsia" w:ascii="仿宋" w:hAnsi="仿宋" w:eastAsia="仿宋" w:cs="宋体"/>
          <w:color w:val="000000" w:themeColor="text1"/>
          <w:kern w:val="0"/>
          <w:sz w:val="28"/>
          <w:szCs w:val="28"/>
          <w:highlight w:val="none"/>
          <w:lang w:eastAsia="zh-CN"/>
          <w14:textFill>
            <w14:solidFill>
              <w14:schemeClr w14:val="tx1"/>
            </w14:solidFill>
          </w14:textFill>
        </w:rPr>
        <w:t>谈判文件</w:t>
      </w:r>
    </w:p>
    <w:p>
      <w:pPr>
        <w:ind w:left="57" w:leftChars="27" w:firstLine="439" w:firstLineChars="157"/>
        <w:rPr>
          <w:rFonts w:hint="eastAsia" w:ascii="仿宋" w:hAnsi="仿宋" w:eastAsia="仿宋"/>
          <w:b/>
          <w:color w:val="000000" w:themeColor="text1"/>
          <w:sz w:val="28"/>
          <w:szCs w:val="28"/>
          <w:highlight w:val="none"/>
          <w:u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w:t>
      </w:r>
      <w:r>
        <w:rPr>
          <w:rFonts w:hint="eastAsia" w:ascii="仿宋" w:hAnsi="仿宋" w:eastAsia="仿宋" w:cs="宋体"/>
          <w:color w:val="000000" w:themeColor="text1"/>
          <w:kern w:val="0"/>
          <w:sz w:val="28"/>
          <w:szCs w:val="28"/>
          <w:highlight w:val="none"/>
          <w:lang w:eastAsia="zh-CN"/>
          <w14:textFill>
            <w14:solidFill>
              <w14:schemeClr w14:val="tx1"/>
            </w14:solidFill>
          </w14:textFill>
        </w:rPr>
        <w:t>二</w:t>
      </w:r>
      <w:r>
        <w:rPr>
          <w:rFonts w:hint="eastAsia" w:ascii="仿宋" w:hAnsi="仿宋" w:eastAsia="仿宋" w:cs="宋体"/>
          <w:color w:val="000000" w:themeColor="text1"/>
          <w:kern w:val="0"/>
          <w:sz w:val="28"/>
          <w:szCs w:val="28"/>
          <w:highlight w:val="none"/>
          <w14:textFill>
            <w14:solidFill>
              <w14:schemeClr w14:val="tx1"/>
            </w14:solidFill>
          </w14:textFill>
        </w:rPr>
        <w:t>）供应商诚信</w:t>
      </w:r>
    </w:p>
    <w:p>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color w:val="000000" w:themeColor="text1"/>
          <w:sz w:val="28"/>
          <w:szCs w:val="28"/>
          <w:highlight w:val="none"/>
          <w:u w:val="none"/>
          <w14:textFill>
            <w14:solidFill>
              <w14:schemeClr w14:val="tx1"/>
            </w14:solidFill>
          </w14:textFill>
        </w:rPr>
      </w:pPr>
      <w:r>
        <w:rPr>
          <w:rFonts w:hint="eastAsia" w:ascii="仿宋" w:hAnsi="仿宋" w:eastAsia="仿宋"/>
          <w:b/>
          <w:color w:val="000000" w:themeColor="text1"/>
          <w:sz w:val="28"/>
          <w:szCs w:val="28"/>
          <w:highlight w:val="none"/>
          <w:u w:val="none"/>
          <w14:textFill>
            <w14:solidFill>
              <w14:schemeClr w14:val="tx1"/>
            </w14:solidFill>
          </w14:textFill>
        </w:rPr>
        <w:t>采联国际招标采购集团有限公司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cstheme="minorBidi"/>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u w:val="none"/>
          <w:lang w:val="en-US" w:eastAsia="zh-CN"/>
          <w14:textFill>
            <w14:solidFill>
              <w14:schemeClr w14:val="tx1"/>
            </w14:solidFill>
          </w14:textFill>
        </w:rPr>
        <w:t>2024</w:t>
      </w:r>
      <w:r>
        <w:rPr>
          <w:rFonts w:hint="eastAsia" w:ascii="仿宋" w:hAnsi="仿宋" w:eastAsia="仿宋"/>
          <w:b/>
          <w:color w:val="000000" w:themeColor="text1"/>
          <w:sz w:val="28"/>
          <w:szCs w:val="28"/>
          <w:highlight w:val="none"/>
          <w:u w:val="none"/>
          <w14:textFill>
            <w14:solidFill>
              <w14:schemeClr w14:val="tx1"/>
            </w14:solidFill>
          </w14:textFill>
        </w:rPr>
        <w:t>年</w:t>
      </w:r>
      <w:r>
        <w:rPr>
          <w:rFonts w:hint="eastAsia" w:ascii="仿宋" w:hAnsi="仿宋" w:eastAsia="仿宋"/>
          <w:b/>
          <w:color w:val="000000" w:themeColor="text1"/>
          <w:sz w:val="28"/>
          <w:szCs w:val="28"/>
          <w:highlight w:val="none"/>
          <w:u w:val="none"/>
          <w:lang w:val="en-US" w:eastAsia="zh-CN"/>
          <w14:textFill>
            <w14:solidFill>
              <w14:schemeClr w14:val="tx1"/>
            </w14:solidFill>
          </w14:textFill>
        </w:rPr>
        <w:t>12</w:t>
      </w:r>
      <w:r>
        <w:rPr>
          <w:rFonts w:hint="eastAsia" w:ascii="仿宋" w:hAnsi="仿宋" w:eastAsia="仿宋"/>
          <w:b/>
          <w:color w:val="000000" w:themeColor="text1"/>
          <w:sz w:val="28"/>
          <w:szCs w:val="28"/>
          <w:highlight w:val="none"/>
          <w:u w:val="none"/>
          <w14:textFill>
            <w14:solidFill>
              <w14:schemeClr w14:val="tx1"/>
            </w14:solidFill>
          </w14:textFill>
        </w:rPr>
        <w:t>月</w:t>
      </w:r>
      <w:r>
        <w:rPr>
          <w:rFonts w:hint="eastAsia" w:ascii="仿宋" w:hAnsi="仿宋" w:eastAsia="仿宋"/>
          <w:b/>
          <w:color w:val="000000" w:themeColor="text1"/>
          <w:sz w:val="28"/>
          <w:szCs w:val="28"/>
          <w:highlight w:val="none"/>
          <w:u w:val="none"/>
          <w:lang w:val="en-US" w:eastAsia="zh-CN"/>
          <w14:textFill>
            <w14:solidFill>
              <w14:schemeClr w14:val="tx1"/>
            </w14:solidFill>
          </w14:textFill>
        </w:rPr>
        <w:t>6</w:t>
      </w:r>
      <w:r>
        <w:rPr>
          <w:rFonts w:hint="eastAsia" w:ascii="仿宋" w:hAnsi="仿宋" w:eastAsia="仿宋"/>
          <w:b/>
          <w:color w:val="000000" w:themeColor="text1"/>
          <w:sz w:val="28"/>
          <w:szCs w:val="28"/>
          <w:highlight w:val="none"/>
          <w:u w:val="none"/>
          <w14:textFill>
            <w14:solidFill>
              <w14:schemeClr w14:val="tx1"/>
            </w14:solidFill>
          </w14:textFill>
        </w:rPr>
        <w:t>日</w:t>
      </w: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iZGVhN2VlZDFjYWYwOWMyYzY0NzIxYmQwZTk3MzM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92E98"/>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36E49E1"/>
    <w:rsid w:val="03A9358B"/>
    <w:rsid w:val="09D937EA"/>
    <w:rsid w:val="09E614A1"/>
    <w:rsid w:val="0A6D7B38"/>
    <w:rsid w:val="0BDF6813"/>
    <w:rsid w:val="0C564D28"/>
    <w:rsid w:val="0C7E602C"/>
    <w:rsid w:val="0CBB0808"/>
    <w:rsid w:val="0E903B52"/>
    <w:rsid w:val="0F307EA4"/>
    <w:rsid w:val="0F724B82"/>
    <w:rsid w:val="0FD541B5"/>
    <w:rsid w:val="12EF7422"/>
    <w:rsid w:val="13095D43"/>
    <w:rsid w:val="137678B4"/>
    <w:rsid w:val="138275F0"/>
    <w:rsid w:val="14C155ED"/>
    <w:rsid w:val="14D42DB1"/>
    <w:rsid w:val="15761F97"/>
    <w:rsid w:val="17FE0E64"/>
    <w:rsid w:val="188C32F1"/>
    <w:rsid w:val="18F80C24"/>
    <w:rsid w:val="1CC76CA7"/>
    <w:rsid w:val="1D576A65"/>
    <w:rsid w:val="1FAD62E6"/>
    <w:rsid w:val="201358D5"/>
    <w:rsid w:val="260C212E"/>
    <w:rsid w:val="26E93C26"/>
    <w:rsid w:val="274E5296"/>
    <w:rsid w:val="284E5408"/>
    <w:rsid w:val="296A22A3"/>
    <w:rsid w:val="2A257E47"/>
    <w:rsid w:val="2C4F0432"/>
    <w:rsid w:val="2E8064A7"/>
    <w:rsid w:val="2EF87941"/>
    <w:rsid w:val="2FB64A9F"/>
    <w:rsid w:val="30831630"/>
    <w:rsid w:val="32B36CE8"/>
    <w:rsid w:val="32BE2005"/>
    <w:rsid w:val="35021B30"/>
    <w:rsid w:val="35BE10C4"/>
    <w:rsid w:val="37DC40A9"/>
    <w:rsid w:val="37E8065D"/>
    <w:rsid w:val="3A3951BD"/>
    <w:rsid w:val="3A9C12B9"/>
    <w:rsid w:val="3B403AF8"/>
    <w:rsid w:val="3C495460"/>
    <w:rsid w:val="3D015476"/>
    <w:rsid w:val="3F8E1B07"/>
    <w:rsid w:val="405C3E41"/>
    <w:rsid w:val="41AD1D1E"/>
    <w:rsid w:val="42480623"/>
    <w:rsid w:val="42E05F26"/>
    <w:rsid w:val="438C5687"/>
    <w:rsid w:val="47143C3C"/>
    <w:rsid w:val="4B8E31F1"/>
    <w:rsid w:val="4BF34243"/>
    <w:rsid w:val="501A79B1"/>
    <w:rsid w:val="50431E61"/>
    <w:rsid w:val="533A2DE6"/>
    <w:rsid w:val="538A2E61"/>
    <w:rsid w:val="54117548"/>
    <w:rsid w:val="54BC180C"/>
    <w:rsid w:val="573B2060"/>
    <w:rsid w:val="57CD4D3F"/>
    <w:rsid w:val="593C217C"/>
    <w:rsid w:val="59700C85"/>
    <w:rsid w:val="5BB46074"/>
    <w:rsid w:val="5CBC610A"/>
    <w:rsid w:val="5CDD5A24"/>
    <w:rsid w:val="5D201AFA"/>
    <w:rsid w:val="5F830454"/>
    <w:rsid w:val="5FD70719"/>
    <w:rsid w:val="6062696C"/>
    <w:rsid w:val="62BC43B0"/>
    <w:rsid w:val="675A1129"/>
    <w:rsid w:val="69A97E87"/>
    <w:rsid w:val="6A466D71"/>
    <w:rsid w:val="6AA818C5"/>
    <w:rsid w:val="6EE964AB"/>
    <w:rsid w:val="6F286FD3"/>
    <w:rsid w:val="72727742"/>
    <w:rsid w:val="74097F98"/>
    <w:rsid w:val="74E0358A"/>
    <w:rsid w:val="76376A59"/>
    <w:rsid w:val="7A63170E"/>
    <w:rsid w:val="7ACD5F49"/>
    <w:rsid w:val="7AFD50A4"/>
    <w:rsid w:val="7AFE508C"/>
    <w:rsid w:val="7C354ADD"/>
    <w:rsid w:val="7F5F1EF3"/>
    <w:rsid w:val="DE73E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style>
  <w:style w:type="paragraph" w:styleId="5">
    <w:name w:val="Plain Text"/>
    <w:basedOn w:val="1"/>
    <w:link w:val="16"/>
    <w:qFormat/>
    <w:uiPriority w:val="0"/>
    <w:rPr>
      <w:rFonts w:ascii="宋体" w:hAnsi="Courier New" w:eastAsiaTheme="minorEastAsia" w:cstheme="minorBidi"/>
      <w:szCs w:val="22"/>
    </w:r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unhideWhenUsed/>
    <w:qFormat/>
    <w:uiPriority w:val="0"/>
    <w:rPr>
      <w:sz w:val="21"/>
      <w:szCs w:val="21"/>
    </w:rPr>
  </w:style>
  <w:style w:type="character" w:customStyle="1" w:styleId="15">
    <w:name w:val="标题 1 字符"/>
    <w:basedOn w:val="12"/>
    <w:link w:val="3"/>
    <w:qFormat/>
    <w:uiPriority w:val="9"/>
    <w:rPr>
      <w:rFonts w:ascii="Times New Roman" w:hAnsi="Times New Roman" w:eastAsia="宋体" w:cs="Times New Roman"/>
      <w:b/>
      <w:bCs/>
      <w:kern w:val="44"/>
      <w:sz w:val="44"/>
      <w:szCs w:val="44"/>
    </w:rPr>
  </w:style>
  <w:style w:type="character" w:customStyle="1" w:styleId="16">
    <w:name w:val="纯文本 字符"/>
    <w:basedOn w:val="12"/>
    <w:link w:val="5"/>
    <w:qFormat/>
    <w:uiPriority w:val="0"/>
    <w:rPr>
      <w:rFonts w:ascii="宋体" w:hAnsi="Courier New"/>
    </w:rPr>
  </w:style>
  <w:style w:type="character" w:customStyle="1" w:styleId="17">
    <w:name w:val="批注文字 字符"/>
    <w:basedOn w:val="12"/>
    <w:link w:val="4"/>
    <w:qFormat/>
    <w:uiPriority w:val="0"/>
    <w:rPr>
      <w:rFonts w:ascii="Times New Roman" w:hAnsi="Times New Roman" w:eastAsia="宋体" w:cs="Times New Roman"/>
      <w:szCs w:val="21"/>
    </w:rPr>
  </w:style>
  <w:style w:type="character" w:customStyle="1" w:styleId="18">
    <w:name w:val="批注框文本 字符"/>
    <w:basedOn w:val="12"/>
    <w:link w:val="6"/>
    <w:semiHidden/>
    <w:qFormat/>
    <w:uiPriority w:val="99"/>
    <w:rPr>
      <w:rFonts w:ascii="Times New Roman" w:hAnsi="Times New Roman" w:eastAsia="宋体" w:cs="Times New Roman"/>
      <w:sz w:val="18"/>
      <w:szCs w:val="18"/>
    </w:rPr>
  </w:style>
  <w:style w:type="character" w:customStyle="1" w:styleId="19">
    <w:name w:val="页眉 字符"/>
    <w:basedOn w:val="12"/>
    <w:link w:val="8"/>
    <w:qFormat/>
    <w:uiPriority w:val="99"/>
    <w:rPr>
      <w:rFonts w:ascii="Times New Roman" w:hAnsi="Times New Roman" w:eastAsia="宋体" w:cs="Times New Roman"/>
      <w:sz w:val="18"/>
      <w:szCs w:val="18"/>
    </w:rPr>
  </w:style>
  <w:style w:type="character" w:customStyle="1" w:styleId="20">
    <w:name w:val="页脚 字符"/>
    <w:basedOn w:val="12"/>
    <w:link w:val="7"/>
    <w:qFormat/>
    <w:uiPriority w:val="99"/>
    <w:rPr>
      <w:rFonts w:ascii="Times New Roman" w:hAnsi="Times New Roman" w:eastAsia="宋体" w:cs="Times New Roman"/>
      <w:sz w:val="18"/>
      <w:szCs w:val="18"/>
    </w:rPr>
  </w:style>
  <w:style w:type="character" w:customStyle="1" w:styleId="21">
    <w:name w:val="批注主题 字符"/>
    <w:basedOn w:val="17"/>
    <w:link w:val="9"/>
    <w:semiHidden/>
    <w:qFormat/>
    <w:uiPriority w:val="99"/>
    <w:rPr>
      <w:rFonts w:ascii="Times New Roman" w:hAnsi="Times New Roman" w:eastAsia="宋体" w:cs="Times New Roman"/>
      <w:b/>
      <w:bCs/>
      <w:szCs w:val="21"/>
    </w:rPr>
  </w:style>
  <w:style w:type="character" w:customStyle="1" w:styleId="22">
    <w:name w:val="未处理的提及1"/>
    <w:basedOn w:val="12"/>
    <w:semiHidden/>
    <w:unhideWhenUsed/>
    <w:qFormat/>
    <w:uiPriority w:val="99"/>
    <w:rPr>
      <w:color w:val="605E5C"/>
      <w:shd w:val="clear" w:color="auto" w:fill="E1DFDD"/>
    </w:rPr>
  </w:style>
  <w:style w:type="paragraph" w:styleId="23">
    <w:name w:val="List Paragraph"/>
    <w:basedOn w:val="1"/>
    <w:link w:val="24"/>
    <w:qFormat/>
    <w:uiPriority w:val="34"/>
    <w:pPr>
      <w:ind w:firstLine="420" w:firstLineChars="200"/>
    </w:pPr>
  </w:style>
  <w:style w:type="character" w:customStyle="1" w:styleId="24">
    <w:name w:val="列表段落 字符"/>
    <w:link w:val="23"/>
    <w:qFormat/>
    <w:uiPriority w:val="34"/>
    <w:rPr>
      <w:kern w:val="2"/>
      <w:sz w:val="21"/>
      <w:szCs w:val="21"/>
    </w:rPr>
  </w:style>
  <w:style w:type="character" w:customStyle="1" w:styleId="25">
    <w:name w:val="未处理的提及2"/>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946</Words>
  <Characters>1213</Characters>
  <Lines>13</Lines>
  <Paragraphs>3</Paragraphs>
  <TotalTime>10</TotalTime>
  <ScaleCrop>false</ScaleCrop>
  <LinksUpToDate>false</LinksUpToDate>
  <CharactersWithSpaces>1221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2020-07-31T18:45:00Z</dcterms:created>
  <dc:creator>魏炫</dc:creator>
  <cp:lastModifiedBy>rsj</cp:lastModifiedBy>
  <cp:lastPrinted>2024-12-04T15:29:00Z</cp:lastPrinted>
  <dcterms:modified xsi:type="dcterms:W3CDTF">2024-12-04T17:30:03Z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35B48894556E4C158175E5AD068EA81E</vt:lpwstr>
  </property>
</Properties>
</file>