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eastAsia="zh-CN"/>
        </w:rPr>
        <w:t>深圳市人力资源和社会保障局博士后业务第三方检查及监管评估服务项目</w:t>
      </w:r>
      <w:r>
        <w:rPr>
          <w:rFonts w:hint="eastAsia" w:ascii="华文中宋" w:hAnsi="华文中宋" w:eastAsia="华文中宋"/>
          <w:color w:val="auto"/>
          <w:sz w:val="32"/>
          <w:szCs w:val="32"/>
          <w:highlight w:val="none"/>
        </w:rPr>
        <w:t>中标（成交）结果公示</w:t>
      </w:r>
    </w:p>
    <w:p>
      <w:pPr>
        <w:ind w:left="42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一、项目编号：</w:t>
      </w:r>
      <w:r>
        <w:rPr>
          <w:rFonts w:hint="eastAsia" w:ascii="仿宋" w:hAnsi="仿宋" w:eastAsia="仿宋"/>
          <w:color w:val="auto"/>
          <w:sz w:val="28"/>
          <w:szCs w:val="28"/>
          <w:highlight w:val="none"/>
          <w:lang w:eastAsia="zh-CN"/>
        </w:rPr>
        <w:t>CLF0125SZ02QY42</w:t>
      </w:r>
    </w:p>
    <w:p>
      <w:pPr>
        <w:ind w:left="42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二、项目名称：</w:t>
      </w:r>
      <w:r>
        <w:rPr>
          <w:rFonts w:hint="eastAsia" w:ascii="仿宋" w:hAnsi="仿宋" w:eastAsia="仿宋"/>
          <w:color w:val="auto"/>
          <w:sz w:val="28"/>
          <w:szCs w:val="28"/>
          <w:highlight w:val="none"/>
          <w:lang w:eastAsia="zh-CN"/>
        </w:rPr>
        <w:t>博士后业务第三方检查及监管评估服务项目</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三、投标供应商名称及报价：</w:t>
      </w:r>
    </w:p>
    <w:tbl>
      <w:tblPr>
        <w:tblStyle w:val="13"/>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3030"/>
        <w:gridCol w:w="162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3414"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投标供应商名称</w:t>
            </w:r>
          </w:p>
        </w:tc>
        <w:tc>
          <w:tcPr>
            <w:tcW w:w="303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投标报价</w:t>
            </w:r>
          </w:p>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（人民币 元）</w:t>
            </w:r>
          </w:p>
        </w:tc>
        <w:tc>
          <w:tcPr>
            <w:tcW w:w="162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资格性审查结果</w:t>
            </w:r>
          </w:p>
        </w:tc>
        <w:tc>
          <w:tcPr>
            <w:tcW w:w="1496"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341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深圳恒瑞会计师事务所（普通合伙）</w:t>
            </w:r>
          </w:p>
        </w:tc>
        <w:tc>
          <w:tcPr>
            <w:tcW w:w="303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416,000.00</w:t>
            </w:r>
          </w:p>
        </w:tc>
        <w:tc>
          <w:tcPr>
            <w:tcW w:w="1620"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341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深圳正先会计师事务所（特殊普通合伙）</w:t>
            </w:r>
          </w:p>
        </w:tc>
        <w:tc>
          <w:tcPr>
            <w:tcW w:w="303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405,000.00</w:t>
            </w:r>
          </w:p>
        </w:tc>
        <w:tc>
          <w:tcPr>
            <w:tcW w:w="1620"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341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深圳市永明会计师事务所有限责任公司</w:t>
            </w:r>
          </w:p>
        </w:tc>
        <w:tc>
          <w:tcPr>
            <w:tcW w:w="303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410,000.00</w:t>
            </w:r>
          </w:p>
        </w:tc>
        <w:tc>
          <w:tcPr>
            <w:tcW w:w="1620"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bl>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四、候选中标供应商名单：深圳正先会计师事务所（特殊普通合伙）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深圳市永明会计师事务所有限责任公司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深圳恒瑞会计师事务所（普通合伙）</w:t>
      </w:r>
    </w:p>
    <w:p>
      <w:pPr>
        <w:ind w:left="42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五、中标（成交）信息</w:t>
      </w:r>
      <w:r>
        <w:rPr>
          <w:rFonts w:hint="eastAsia" w:ascii="仿宋" w:hAnsi="仿宋" w:eastAsia="仿宋"/>
          <w:color w:val="auto"/>
          <w:sz w:val="28"/>
          <w:szCs w:val="28"/>
          <w:highlight w:val="none"/>
          <w:lang w:val="en-US" w:eastAsia="zh-CN"/>
        </w:rPr>
        <w:tab/>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供应商名称：深圳正先会计师事务所（特殊普通合伙）</w:t>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供应商地址：深圳市福田区华强北街道福强社区红荔路2001号四川大厦A座1101</w:t>
      </w:r>
    </w:p>
    <w:p>
      <w:pPr>
        <w:ind w:left="0" w:leftChars="0" w:firstLine="439" w:firstLineChars="157"/>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中标（成交）金额：人民币405,000.00元</w:t>
      </w:r>
    </w:p>
    <w:p>
      <w:pPr>
        <w:ind w:left="0" w:leftChars="0" w:firstLine="439" w:firstLineChars="157"/>
        <w:rPr>
          <w:rFonts w:hint="default" w:ascii="仿宋" w:hAnsi="仿宋" w:eastAsia="仿宋"/>
          <w:color w:val="auto"/>
          <w:sz w:val="28"/>
          <w:szCs w:val="28"/>
          <w:highlight w:val="none"/>
          <w:shd w:val="clear" w:color="FFFFFF" w:fill="D9D9D9"/>
          <w:lang w:val="en-US" w:eastAsia="zh-CN"/>
        </w:rPr>
      </w:pPr>
      <w:r>
        <w:rPr>
          <w:rFonts w:hint="eastAsia" w:ascii="仿宋" w:hAnsi="仿宋" w:eastAsia="仿宋"/>
          <w:color w:val="auto"/>
          <w:sz w:val="28"/>
          <w:szCs w:val="28"/>
          <w:highlight w:val="none"/>
          <w:lang w:val="en-US" w:eastAsia="zh-CN"/>
        </w:rPr>
        <w:t>评审总得分：91.40分</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六、主要标的信息</w:t>
      </w:r>
    </w:p>
    <w:tbl>
      <w:tblPr>
        <w:tblStyle w:val="13"/>
        <w:tblW w:w="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0" w:type="dxa"/>
          </w:tcPr>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名称：博士后业务第三方检查及监管评估服务</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服务范围：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服务要求：</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服务时间：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服务标准：</w:t>
            </w:r>
            <w:r>
              <w:rPr>
                <w:rFonts w:hint="eastAsia" w:ascii="仿宋" w:hAnsi="仿宋" w:eastAsia="仿宋"/>
                <w:color w:val="auto"/>
                <w:kern w:val="0"/>
                <w:sz w:val="28"/>
                <w:szCs w:val="28"/>
                <w:highlight w:val="none"/>
                <w:lang w:eastAsia="zh-CN"/>
              </w:rPr>
              <w:t>详见招标文件</w:t>
            </w:r>
          </w:p>
        </w:tc>
      </w:tr>
    </w:tbl>
    <w:p>
      <w:pPr>
        <w:numPr>
          <w:ilvl w:val="0"/>
          <w:numId w:val="0"/>
        </w:numPr>
        <w:ind w:left="420" w:leftChars="0"/>
        <w:rPr>
          <w:rFonts w:hint="eastAsia" w:ascii="仿宋" w:hAnsi="仿宋" w:eastAsia="仿宋"/>
          <w:i/>
          <w:iCs/>
          <w:color w:val="auto"/>
          <w:sz w:val="28"/>
          <w:szCs w:val="28"/>
          <w:highlight w:val="none"/>
        </w:rPr>
      </w:pP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评审委员会成员名单：张欣</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文荣华、朱彤、熊一军、宋林杉</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八、代理服务收费标准及金额：《深圳市财政委员会关于规范深圳市社会采购代理机构管理有关事项的补充通知》（深财购〔2018〕27号）代理费用参考标准规定的“服务类”计算，下浮13%后收取</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服务费</w:t>
      </w:r>
      <w:r>
        <w:rPr>
          <w:rFonts w:hint="eastAsia" w:ascii="仿宋" w:hAnsi="仿宋" w:eastAsia="仿宋"/>
          <w:color w:val="auto"/>
          <w:sz w:val="28"/>
          <w:szCs w:val="28"/>
          <w:highlight w:val="none"/>
        </w:rPr>
        <w:t>不足6525.00元时，按6525.00元收费</w:t>
      </w: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val="en-US" w:eastAsia="zh-CN"/>
        </w:rPr>
        <w:t>向中标人收取</w:t>
      </w:r>
      <w:r>
        <w:rPr>
          <w:rFonts w:hint="eastAsia" w:ascii="仿宋" w:hAnsi="仿宋" w:eastAsia="仿宋" w:cs="宋体"/>
          <w:color w:val="auto"/>
          <w:kern w:val="0"/>
          <w:sz w:val="28"/>
          <w:szCs w:val="28"/>
          <w:highlight w:val="none"/>
        </w:rPr>
        <w:t>人民币</w:t>
      </w:r>
      <w:r>
        <w:rPr>
          <w:rFonts w:hint="eastAsia" w:ascii="仿宋" w:hAnsi="仿宋" w:eastAsia="仿宋"/>
          <w:color w:val="auto"/>
          <w:sz w:val="28"/>
          <w:szCs w:val="28"/>
          <w:highlight w:val="none"/>
        </w:rPr>
        <w:t>6525.00</w:t>
      </w:r>
      <w:r>
        <w:rPr>
          <w:rFonts w:hint="eastAsia" w:ascii="仿宋" w:hAnsi="仿宋" w:eastAsia="仿宋" w:cs="宋体"/>
          <w:color w:val="auto"/>
          <w:kern w:val="0"/>
          <w:sz w:val="28"/>
          <w:szCs w:val="28"/>
          <w:highlight w:val="none"/>
        </w:rPr>
        <w:t>元。</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4</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4</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十、其他补充事宜</w:t>
      </w:r>
    </w:p>
    <w:p>
      <w:pPr>
        <w:ind w:firstLine="280" w:firstLineChars="1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（一）供应商质疑</w:t>
      </w:r>
    </w:p>
    <w:p>
      <w:pPr>
        <w:widowControl/>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供应商认为中标或者成交结果使自己的权益受到损害的</w:t>
      </w:r>
      <w:r>
        <w:rPr>
          <w:rFonts w:hint="eastAsia" w:ascii="仿宋" w:hAnsi="仿宋" w:eastAsia="仿宋"/>
          <w:color w:val="auto"/>
          <w:kern w:val="0"/>
          <w:sz w:val="28"/>
          <w:szCs w:val="28"/>
          <w:highlight w:val="none"/>
        </w:rPr>
        <w:t>，应当自本公告发布之日起七个工作日内</w:t>
      </w:r>
      <w:bookmarkStart w:id="0" w:name="_Hlk27380774"/>
      <w:r>
        <w:rPr>
          <w:rFonts w:hint="eastAsia" w:ascii="仿宋" w:hAnsi="仿宋" w:eastAsia="仿宋"/>
          <w:color w:val="auto"/>
          <w:kern w:val="0"/>
          <w:sz w:val="28"/>
          <w:szCs w:val="28"/>
          <w:highlight w:val="none"/>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highlight w:val="none"/>
        </w:rPr>
      </w:pPr>
      <w:r>
        <w:rPr>
          <w:rFonts w:hint="eastAsia" w:ascii="仿宋" w:hAnsi="仿宋" w:eastAsia="仿宋"/>
          <w:color w:val="auto"/>
          <w:kern w:val="0"/>
          <w:sz w:val="28"/>
          <w:szCs w:val="28"/>
          <w:highlight w:val="none"/>
        </w:rPr>
        <w:t>（二）</w:t>
      </w:r>
      <w:r>
        <w:rPr>
          <w:rFonts w:hint="eastAsia" w:ascii="仿宋" w:hAnsi="仿宋" w:eastAsia="仿宋" w:cs="宋体"/>
          <w:color w:val="auto"/>
          <w:sz w:val="28"/>
          <w:szCs w:val="28"/>
          <w:highlight w:val="none"/>
        </w:rPr>
        <w:t>本项目相关公告在以下媒体发布:</w:t>
      </w:r>
    </w:p>
    <w:p>
      <w:pPr>
        <w:ind w:firstLine="280" w:firstLineChars="100"/>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相关媒体：深圳市人力资源和社会保障局官网（http：//hrss.sz.gov.cn/）、采购代理机构网站（www.chinapsp.cn）。相关公告在上述媒体上公布之日即视为有效送达，不再另行通知。</w:t>
      </w:r>
    </w:p>
    <w:p>
      <w:pPr>
        <w:ind w:left="42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w:t>
      </w:r>
      <w:r>
        <w:rPr>
          <w:rFonts w:hint="eastAsia" w:ascii="仿宋" w:hAnsi="仿宋" w:eastAsia="仿宋" w:cs="宋体"/>
          <w:bCs/>
          <w:color w:val="auto"/>
          <w:kern w:val="0"/>
          <w:sz w:val="28"/>
          <w:szCs w:val="28"/>
          <w:highlight w:val="none"/>
          <w:lang w:eastAsia="zh-CN"/>
        </w:rPr>
        <w:t>深圳市人力资源和社会保障局</w:t>
      </w:r>
    </w:p>
    <w:p>
      <w:pPr>
        <w:adjustRightInd w:val="0"/>
        <w:snapToGrid w:val="0"/>
        <w:spacing w:line="360" w:lineRule="auto"/>
        <w:ind w:left="1121" w:leftChars="238" w:hanging="621" w:hangingChars="222"/>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地址：</w:t>
      </w:r>
      <w:bookmarkStart w:id="1" w:name="_Toc28359009"/>
      <w:bookmarkStart w:id="2" w:name="_Toc28359086"/>
      <w:r>
        <w:rPr>
          <w:rFonts w:hint="eastAsia" w:ascii="仿宋" w:hAnsi="仿宋" w:eastAsia="仿宋"/>
          <w:color w:val="auto"/>
          <w:sz w:val="28"/>
          <w:szCs w:val="28"/>
          <w:highlight w:val="none"/>
        </w:rPr>
        <w:t>深圳市福田区深南大道8005号</w:t>
      </w:r>
    </w:p>
    <w:p>
      <w:pPr>
        <w:adjustRightInd w:val="0"/>
        <w:snapToGrid w:val="0"/>
        <w:spacing w:line="360" w:lineRule="auto"/>
        <w:ind w:left="1121" w:leftChars="238" w:hanging="621" w:hangingChars="222"/>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二</w:t>
      </w:r>
      <w:r>
        <w:rPr>
          <w:rFonts w:hint="eastAsia" w:ascii="仿宋" w:hAnsi="仿宋" w:eastAsia="仿宋" w:cs="宋体"/>
          <w:color w:val="auto"/>
          <w:sz w:val="28"/>
          <w:szCs w:val="28"/>
          <w:highlight w:val="none"/>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s="宋体"/>
          <w:color w:val="auto"/>
          <w:sz w:val="28"/>
          <w:szCs w:val="28"/>
          <w:highlight w:val="none"/>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地址：深圳市福田区竹子林中国经贸大厦</w:t>
      </w:r>
      <w:bookmarkStart w:id="3" w:name="_Toc28359010"/>
      <w:bookmarkStart w:id="4" w:name="_Toc28359087"/>
      <w:r>
        <w:rPr>
          <w:rFonts w:hint="eastAsia" w:ascii="仿宋" w:hAnsi="仿宋" w:eastAsia="仿宋"/>
          <w:color w:val="auto"/>
          <w:sz w:val="28"/>
          <w:szCs w:val="28"/>
          <w:highlight w:val="none"/>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三</w:t>
      </w:r>
      <w:r>
        <w:rPr>
          <w:rFonts w:hint="eastAsia" w:ascii="仿宋" w:hAnsi="仿宋" w:eastAsia="仿宋" w:cs="宋体"/>
          <w:color w:val="auto"/>
          <w:sz w:val="28"/>
          <w:szCs w:val="28"/>
          <w:highlight w:val="none"/>
        </w:rPr>
        <w:t>）项目</w:t>
      </w:r>
      <w:r>
        <w:rPr>
          <w:rFonts w:ascii="仿宋" w:hAnsi="仿宋" w:eastAsia="仿宋" w:cs="宋体"/>
          <w:color w:val="auto"/>
          <w:sz w:val="28"/>
          <w:szCs w:val="28"/>
          <w:highlight w:val="none"/>
        </w:rPr>
        <w:t>联系方式</w:t>
      </w:r>
      <w:bookmarkEnd w:id="3"/>
      <w:bookmarkEnd w:id="4"/>
    </w:p>
    <w:p>
      <w:pPr>
        <w:pStyle w:val="6"/>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s="宋体"/>
          <w:color w:val="auto"/>
          <w:sz w:val="28"/>
          <w:szCs w:val="28"/>
          <w:highlight w:val="none"/>
          <w:lang w:val="en-US" w:eastAsia="zh-CN"/>
        </w:rPr>
        <w:t>吴</w:t>
      </w:r>
      <w:r>
        <w:rPr>
          <w:rFonts w:hint="eastAsia" w:ascii="仿宋" w:hAnsi="仿宋" w:eastAsia="仿宋" w:cs="宋体"/>
          <w:color w:val="auto"/>
          <w:sz w:val="28"/>
          <w:szCs w:val="28"/>
          <w:highlight w:val="none"/>
        </w:rPr>
        <w:t>小姐</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　话：0755-8837757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31</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备用联系人：洪小姐</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auto"/>
          <w:highlight w:val="none"/>
          <w:lang w:val="en-US" w:eastAsia="zh-CN"/>
        </w:rPr>
      </w:pPr>
      <w:r>
        <w:rPr>
          <w:rFonts w:hint="eastAsia" w:ascii="仿宋" w:hAnsi="仿宋" w:eastAsia="仿宋"/>
          <w:color w:val="auto"/>
          <w:sz w:val="28"/>
          <w:szCs w:val="28"/>
          <w:highlight w:val="none"/>
          <w:lang w:val="en-US" w:eastAsia="zh-CN"/>
        </w:rPr>
        <w:t>备用联系电话：0755-88377572转2340</w:t>
      </w:r>
    </w:p>
    <w:p>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邮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编：518040</w:t>
      </w:r>
    </w:p>
    <w:p>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邮 箱：cailiansz@126.com</w:t>
      </w:r>
    </w:p>
    <w:p>
      <w:pPr>
        <w:widowControl/>
        <w:ind w:left="42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十二、附件（可在采购代理机构（www.chinapsp.cn）网站查看）</w:t>
      </w:r>
    </w:p>
    <w:p>
      <w:pPr>
        <w:ind w:left="57" w:leftChars="27" w:firstLine="439" w:firstLineChars="157"/>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（一）</w:t>
      </w:r>
      <w:r>
        <w:rPr>
          <w:rFonts w:hint="eastAsia" w:ascii="仿宋" w:hAnsi="仿宋" w:eastAsia="仿宋" w:cs="宋体"/>
          <w:color w:val="auto"/>
          <w:kern w:val="0"/>
          <w:sz w:val="28"/>
          <w:szCs w:val="28"/>
          <w:highlight w:val="none"/>
          <w:lang w:eastAsia="zh-CN"/>
        </w:rPr>
        <w:t>招标文件</w:t>
      </w:r>
    </w:p>
    <w:p>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）供应商诚信</w:t>
      </w:r>
    </w:p>
    <w:p>
      <w:pPr>
        <w:widowControl/>
        <w:spacing w:before="100" w:beforeAutospacing="1" w:after="100" w:afterAutospacing="1"/>
        <w:jc w:val="center"/>
        <w:rPr>
          <w:rFonts w:ascii="仿宋" w:hAnsi="仿宋" w:eastAsia="仿宋" w:cstheme="minorBidi"/>
          <w:color w:val="auto"/>
          <w:sz w:val="28"/>
          <w:szCs w:val="28"/>
          <w:highlight w:val="none"/>
        </w:rPr>
      </w:pPr>
      <w:bookmarkStart w:id="5" w:name="_GoBack"/>
      <w:bookmarkEnd w:id="5"/>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2"/>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iZGVhN2VlZDFjYWYwOWMyYzY0NzIxYmQwZTk3MzM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1786094"/>
    <w:rsid w:val="036E49E1"/>
    <w:rsid w:val="03A9358B"/>
    <w:rsid w:val="09D937EA"/>
    <w:rsid w:val="09E614A1"/>
    <w:rsid w:val="0A6D7B38"/>
    <w:rsid w:val="0B493832"/>
    <w:rsid w:val="0BDF6813"/>
    <w:rsid w:val="0C564D28"/>
    <w:rsid w:val="0C7E602C"/>
    <w:rsid w:val="0E121584"/>
    <w:rsid w:val="0E3D61AD"/>
    <w:rsid w:val="0E903B52"/>
    <w:rsid w:val="0F307EA4"/>
    <w:rsid w:val="12EF7422"/>
    <w:rsid w:val="13095D43"/>
    <w:rsid w:val="137678B4"/>
    <w:rsid w:val="138275F0"/>
    <w:rsid w:val="14C155ED"/>
    <w:rsid w:val="14D42DB1"/>
    <w:rsid w:val="15761F97"/>
    <w:rsid w:val="17FE0E64"/>
    <w:rsid w:val="188C32F1"/>
    <w:rsid w:val="1CC76CA7"/>
    <w:rsid w:val="1D576A65"/>
    <w:rsid w:val="1E9114E8"/>
    <w:rsid w:val="1FAD62E6"/>
    <w:rsid w:val="201358D5"/>
    <w:rsid w:val="202A7F96"/>
    <w:rsid w:val="21593B2E"/>
    <w:rsid w:val="260C212E"/>
    <w:rsid w:val="26E93C26"/>
    <w:rsid w:val="274E5296"/>
    <w:rsid w:val="284E5408"/>
    <w:rsid w:val="2C0B5CAC"/>
    <w:rsid w:val="2C4F0432"/>
    <w:rsid w:val="2E8064A7"/>
    <w:rsid w:val="2EF87941"/>
    <w:rsid w:val="2FB64A9F"/>
    <w:rsid w:val="305C144D"/>
    <w:rsid w:val="30831630"/>
    <w:rsid w:val="32B36CE8"/>
    <w:rsid w:val="32BE2005"/>
    <w:rsid w:val="35BE10C4"/>
    <w:rsid w:val="37DC40A9"/>
    <w:rsid w:val="37E8065D"/>
    <w:rsid w:val="3A3951BD"/>
    <w:rsid w:val="3A9C12B9"/>
    <w:rsid w:val="3B403AF8"/>
    <w:rsid w:val="3C495460"/>
    <w:rsid w:val="3D015476"/>
    <w:rsid w:val="3D340AFA"/>
    <w:rsid w:val="3F8E1B07"/>
    <w:rsid w:val="405C3E41"/>
    <w:rsid w:val="41AD1D1E"/>
    <w:rsid w:val="42480623"/>
    <w:rsid w:val="42E05F26"/>
    <w:rsid w:val="438C5687"/>
    <w:rsid w:val="46FA56D1"/>
    <w:rsid w:val="47143C3C"/>
    <w:rsid w:val="4B8E31F1"/>
    <w:rsid w:val="4BF34243"/>
    <w:rsid w:val="501A79B1"/>
    <w:rsid w:val="50431E61"/>
    <w:rsid w:val="533A2DE6"/>
    <w:rsid w:val="538A2E61"/>
    <w:rsid w:val="573B2060"/>
    <w:rsid w:val="57CD4D3F"/>
    <w:rsid w:val="593C217C"/>
    <w:rsid w:val="59700C85"/>
    <w:rsid w:val="5BB46074"/>
    <w:rsid w:val="5CBC610A"/>
    <w:rsid w:val="5CDD5A24"/>
    <w:rsid w:val="5D201AFA"/>
    <w:rsid w:val="5F830454"/>
    <w:rsid w:val="5FD70719"/>
    <w:rsid w:val="6062696C"/>
    <w:rsid w:val="62BC43B0"/>
    <w:rsid w:val="675A1129"/>
    <w:rsid w:val="69A97E87"/>
    <w:rsid w:val="6A466D71"/>
    <w:rsid w:val="6AA818C5"/>
    <w:rsid w:val="6EE964AB"/>
    <w:rsid w:val="6F286FD3"/>
    <w:rsid w:val="72727742"/>
    <w:rsid w:val="7409493E"/>
    <w:rsid w:val="74097F98"/>
    <w:rsid w:val="74E0358A"/>
    <w:rsid w:val="752E46D4"/>
    <w:rsid w:val="76376A59"/>
    <w:rsid w:val="789E5C8D"/>
    <w:rsid w:val="7A63170E"/>
    <w:rsid w:val="7ACD5F49"/>
    <w:rsid w:val="7AFD50A4"/>
    <w:rsid w:val="7AFE508C"/>
    <w:rsid w:val="7C354ADD"/>
    <w:rsid w:val="7CFD4A2C"/>
    <w:rsid w:val="CFB7FF17"/>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1"/>
    </w:rPr>
  </w:style>
  <w:style w:type="paragraph" w:styleId="5">
    <w:name w:val="annotation text"/>
    <w:basedOn w:val="1"/>
    <w:link w:val="19"/>
    <w:unhideWhenUsed/>
    <w:qFormat/>
    <w:uiPriority w:val="0"/>
    <w:pPr>
      <w:jc w:val="left"/>
    </w:pPr>
  </w:style>
  <w:style w:type="paragraph" w:styleId="6">
    <w:name w:val="Plain Text"/>
    <w:basedOn w:val="1"/>
    <w:link w:val="18"/>
    <w:qFormat/>
    <w:uiPriority w:val="0"/>
    <w:rPr>
      <w:rFonts w:ascii="宋体" w:hAnsi="Courier New" w:eastAsiaTheme="minorEastAsia" w:cstheme="minorBidi"/>
      <w:szCs w:val="22"/>
    </w:rPr>
  </w:style>
  <w:style w:type="paragraph" w:styleId="7">
    <w:name w:val="Balloon Text"/>
    <w:basedOn w:val="1"/>
    <w:link w:val="20"/>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0"/>
    <w:rPr>
      <w:sz w:val="21"/>
      <w:szCs w:val="21"/>
    </w:rPr>
  </w:style>
  <w:style w:type="character" w:customStyle="1" w:styleId="17">
    <w:name w:val="标题 1 字符"/>
    <w:basedOn w:val="14"/>
    <w:link w:val="2"/>
    <w:qFormat/>
    <w:uiPriority w:val="9"/>
    <w:rPr>
      <w:rFonts w:ascii="Times New Roman" w:hAnsi="Times New Roman" w:eastAsia="宋体" w:cs="Times New Roman"/>
      <w:b/>
      <w:bCs/>
      <w:kern w:val="44"/>
      <w:sz w:val="44"/>
      <w:szCs w:val="44"/>
    </w:rPr>
  </w:style>
  <w:style w:type="character" w:customStyle="1" w:styleId="18">
    <w:name w:val="纯文本 字符"/>
    <w:basedOn w:val="14"/>
    <w:link w:val="6"/>
    <w:qFormat/>
    <w:uiPriority w:val="0"/>
    <w:rPr>
      <w:rFonts w:ascii="宋体" w:hAnsi="Courier New"/>
    </w:rPr>
  </w:style>
  <w:style w:type="character" w:customStyle="1" w:styleId="19">
    <w:name w:val="批注文字 字符"/>
    <w:basedOn w:val="14"/>
    <w:link w:val="5"/>
    <w:qFormat/>
    <w:uiPriority w:val="0"/>
    <w:rPr>
      <w:rFonts w:ascii="Times New Roman" w:hAnsi="Times New Roman" w:eastAsia="宋体" w:cs="Times New Roman"/>
      <w:szCs w:val="21"/>
    </w:rPr>
  </w:style>
  <w:style w:type="character" w:customStyle="1" w:styleId="20">
    <w:name w:val="批注框文本 字符"/>
    <w:basedOn w:val="14"/>
    <w:link w:val="7"/>
    <w:semiHidden/>
    <w:qFormat/>
    <w:uiPriority w:val="99"/>
    <w:rPr>
      <w:rFonts w:ascii="Times New Roman" w:hAnsi="Times New Roman" w:eastAsia="宋体" w:cs="Times New Roman"/>
      <w:sz w:val="18"/>
      <w:szCs w:val="18"/>
    </w:rPr>
  </w:style>
  <w:style w:type="character" w:customStyle="1" w:styleId="21">
    <w:name w:val="页眉 字符"/>
    <w:basedOn w:val="14"/>
    <w:link w:val="9"/>
    <w:qFormat/>
    <w:uiPriority w:val="99"/>
    <w:rPr>
      <w:rFonts w:ascii="Times New Roman" w:hAnsi="Times New Roman" w:eastAsia="宋体" w:cs="Times New Roman"/>
      <w:sz w:val="18"/>
      <w:szCs w:val="18"/>
    </w:rPr>
  </w:style>
  <w:style w:type="character" w:customStyle="1" w:styleId="22">
    <w:name w:val="页脚 字符"/>
    <w:basedOn w:val="14"/>
    <w:link w:val="8"/>
    <w:qFormat/>
    <w:uiPriority w:val="99"/>
    <w:rPr>
      <w:rFonts w:ascii="Times New Roman" w:hAnsi="Times New Roman" w:eastAsia="宋体" w:cs="Times New Roman"/>
      <w:sz w:val="18"/>
      <w:szCs w:val="18"/>
    </w:rPr>
  </w:style>
  <w:style w:type="character" w:customStyle="1" w:styleId="23">
    <w:name w:val="批注主题 字符"/>
    <w:basedOn w:val="19"/>
    <w:link w:val="11"/>
    <w:semiHidden/>
    <w:qFormat/>
    <w:uiPriority w:val="99"/>
    <w:rPr>
      <w:rFonts w:ascii="Times New Roman" w:hAnsi="Times New Roman" w:eastAsia="宋体" w:cs="Times New Roman"/>
      <w:b/>
      <w:bCs/>
      <w:szCs w:val="21"/>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link w:val="26"/>
    <w:qFormat/>
    <w:uiPriority w:val="34"/>
    <w:pPr>
      <w:ind w:firstLine="420" w:firstLineChars="200"/>
    </w:pPr>
  </w:style>
  <w:style w:type="character" w:customStyle="1" w:styleId="26">
    <w:name w:val="列表段落 字符"/>
    <w:link w:val="25"/>
    <w:qFormat/>
    <w:uiPriority w:val="34"/>
    <w:rPr>
      <w:kern w:val="2"/>
      <w:sz w:val="21"/>
      <w:szCs w:val="21"/>
    </w:rPr>
  </w:style>
  <w:style w:type="character" w:customStyle="1" w:styleId="27">
    <w:name w:val="未处理的提及2"/>
    <w:basedOn w:val="14"/>
    <w:semiHidden/>
    <w:unhideWhenUsed/>
    <w:qFormat/>
    <w:uiPriority w:val="99"/>
    <w:rPr>
      <w:color w:val="605E5C"/>
      <w:shd w:val="clear" w:color="auto" w:fill="E1DFDD"/>
    </w:rPr>
  </w:style>
  <w:style w:type="paragraph" w:customStyle="1" w:styleId="28">
    <w:name w:val="样式4"/>
    <w:basedOn w:val="1"/>
    <w:qFormat/>
    <w:uiPriority w:val="0"/>
    <w:pPr>
      <w:tabs>
        <w:tab w:val="left" w:pos="2328"/>
      </w:tabs>
      <w:ind w:left="2328" w:hanging="708"/>
    </w:pPr>
  </w:style>
  <w:style w:type="paragraph" w:customStyle="1" w:styleId="29">
    <w:name w:val="列出段落11"/>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998</Words>
  <Characters>1194</Characters>
  <Lines>13</Lines>
  <Paragraphs>3</Paragraphs>
  <TotalTime>0</TotalTime>
  <ScaleCrop>false</ScaleCrop>
  <LinksUpToDate>false</LinksUpToDate>
  <CharactersWithSpaces>1200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2020-07-31T18:45:00Z</dcterms:created>
  <dc:creator>魏炫</dc:creator>
  <cp:lastModifiedBy>rsj</cp:lastModifiedBy>
  <dcterms:modified xsi:type="dcterms:W3CDTF">2025-04-01T17:53:53Z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35B48894556E4C158175E5AD068EA81E</vt:lpwstr>
  </property>
  <property fmtid="{D5CDD505-2E9C-101B-9397-08002B2CF9AE}" pid="4" name="KSOTemplateDocerSaveRecord">
    <vt:lpwstr>eyJoZGlkIjoiYjgwODUzMzkyZDIwM2Q1NDA3OWZiMzUwN2RiYTg2YTIiLCJ1c2VySWQiOiI1NzAwNDI0MTQifQ==</vt:lpwstr>
  </property>
</Properties>
</file>