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黑体" w:cs="Times New Roman"/>
          <w:color w:val="auto"/>
          <w:sz w:val="32"/>
          <w:szCs w:val="32"/>
          <w:highlight w:val="none"/>
          <w:u w:val="none"/>
          <w:lang w:val="en-US" w:eastAsia="zh-CN" w:bidi="ar-SA"/>
        </w:rPr>
      </w:pPr>
      <w:r>
        <w:rPr>
          <w:rFonts w:hint="default" w:ascii="Times New Roman" w:hAnsi="Times New Roman" w:eastAsia="黑体" w:cs="Times New Roman"/>
          <w:color w:val="auto"/>
          <w:sz w:val="32"/>
          <w:szCs w:val="32"/>
          <w:highlight w:val="none"/>
          <w:u w:val="none"/>
          <w:lang w:bidi="ar-SA"/>
        </w:rPr>
        <w:t>附件</w:t>
      </w:r>
      <w:r>
        <w:rPr>
          <w:rFonts w:hint="default" w:ascii="Times New Roman" w:hAnsi="Times New Roman" w:eastAsia="黑体" w:cs="Times New Roman"/>
          <w:color w:val="auto"/>
          <w:sz w:val="32"/>
          <w:szCs w:val="32"/>
          <w:highlight w:val="none"/>
          <w:u w:val="none"/>
          <w:lang w:val="en-US" w:eastAsia="zh-CN" w:bidi="ar-SA"/>
        </w:rPr>
        <w:t>1</w:t>
      </w:r>
    </w:p>
    <w:p>
      <w:pPr>
        <w:keepNext w:val="0"/>
        <w:keepLines w:val="0"/>
        <w:pageBreakBefore w:val="0"/>
        <w:widowControl w:val="0"/>
        <w:kinsoku/>
        <w:wordWrap/>
        <w:overflowPunct/>
        <w:topLinePunct w:val="0"/>
        <w:autoSpaceDE/>
        <w:autoSpaceDN/>
        <w:bidi w:val="0"/>
        <w:spacing w:after="0" w:line="540" w:lineRule="exact"/>
        <w:ind w:firstLine="0" w:firstLineChars="0"/>
        <w:jc w:val="center"/>
        <w:textAlignment w:val="auto"/>
        <w:rPr>
          <w:rFonts w:hint="default" w:ascii="Times New Roman" w:hAnsi="Times New Roman" w:eastAsia="方正小标宋简体" w:cs="Times New Roman"/>
          <w:b w:val="0"/>
          <w:bCs w:val="0"/>
          <w:color w:val="000000"/>
          <w:sz w:val="40"/>
          <w:szCs w:val="48"/>
          <w:lang w:val="zh-CN" w:eastAsia="zh-CN"/>
        </w:rPr>
      </w:pPr>
      <w:bookmarkStart w:id="10" w:name="_GoBack"/>
      <w:r>
        <w:rPr>
          <w:rFonts w:hint="default" w:ascii="Times New Roman" w:hAnsi="Times New Roman" w:eastAsia="方正小标宋简体" w:cs="Times New Roman"/>
          <w:b w:val="0"/>
          <w:bCs w:val="0"/>
          <w:color w:val="000000"/>
          <w:sz w:val="40"/>
          <w:szCs w:val="48"/>
          <w:lang w:val="zh-CN" w:eastAsia="zh-CN"/>
        </w:rPr>
        <w:t>企业职工基本养老保险</w:t>
      </w:r>
      <w:r>
        <w:rPr>
          <w:rFonts w:hint="default" w:ascii="Times New Roman" w:hAnsi="Times New Roman" w:eastAsia="方正小标宋简体" w:cs="Times New Roman"/>
          <w:b w:val="0"/>
          <w:bCs w:val="0"/>
          <w:color w:val="000000"/>
          <w:sz w:val="40"/>
          <w:szCs w:val="48"/>
          <w:lang w:val="en-US" w:eastAsia="zh-CN"/>
        </w:rPr>
        <w:t>病残津贴</w:t>
      </w:r>
      <w:r>
        <w:rPr>
          <w:rFonts w:hint="default" w:ascii="Times New Roman" w:hAnsi="Times New Roman" w:eastAsia="方正小标宋简体" w:cs="Times New Roman"/>
          <w:b w:val="0"/>
          <w:bCs w:val="0"/>
          <w:color w:val="000000"/>
          <w:sz w:val="40"/>
          <w:szCs w:val="48"/>
          <w:lang w:val="zh-CN" w:eastAsia="zh-CN"/>
        </w:rPr>
        <w:t>申报表</w:t>
      </w:r>
    </w:p>
    <w:bookmarkEnd w:id="10"/>
    <w:tbl>
      <w:tblPr>
        <w:tblStyle w:val="8"/>
        <w:tblW w:w="1111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79" w:hRule="atLeast"/>
          <w:jc w:val="center"/>
        </w:trPr>
        <w:tc>
          <w:tcPr>
            <w:tcW w:w="11117" w:type="dxa"/>
            <w:vAlign w:val="center"/>
          </w:tcPr>
          <w:tbl>
            <w:tblPr>
              <w:tblStyle w:val="8"/>
              <w:tblpPr w:leftFromText="180" w:rightFromText="180" w:vertAnchor="text" w:horzAnchor="page" w:tblpX="-78" w:tblpY="-3837"/>
              <w:tblOverlap w:val="never"/>
              <w:tblW w:w="11146" w:type="dxa"/>
              <w:tblInd w:w="0" w:type="dxa"/>
              <w:tblLayout w:type="fixed"/>
              <w:tblCellMar>
                <w:top w:w="0" w:type="dxa"/>
                <w:left w:w="108" w:type="dxa"/>
                <w:bottom w:w="0" w:type="dxa"/>
                <w:right w:w="108" w:type="dxa"/>
              </w:tblCellMar>
            </w:tblPr>
            <w:tblGrid>
              <w:gridCol w:w="1456"/>
              <w:gridCol w:w="1175"/>
              <w:gridCol w:w="762"/>
              <w:gridCol w:w="1098"/>
              <w:gridCol w:w="87"/>
              <w:gridCol w:w="303"/>
              <w:gridCol w:w="203"/>
              <w:gridCol w:w="165"/>
              <w:gridCol w:w="368"/>
              <w:gridCol w:w="114"/>
              <w:gridCol w:w="254"/>
              <w:gridCol w:w="368"/>
              <w:gridCol w:w="171"/>
              <w:gridCol w:w="197"/>
              <w:gridCol w:w="185"/>
              <w:gridCol w:w="183"/>
              <w:gridCol w:w="368"/>
              <w:gridCol w:w="368"/>
              <w:gridCol w:w="186"/>
              <w:gridCol w:w="182"/>
              <w:gridCol w:w="292"/>
              <w:gridCol w:w="76"/>
              <w:gridCol w:w="368"/>
              <w:gridCol w:w="368"/>
              <w:gridCol w:w="368"/>
              <w:gridCol w:w="368"/>
              <w:gridCol w:w="368"/>
              <w:gridCol w:w="368"/>
              <w:gridCol w:w="377"/>
            </w:tblGrid>
            <w:tr>
              <w:tblPrEx>
                <w:tblLayout w:type="fixed"/>
                <w:tblCellMar>
                  <w:top w:w="0" w:type="dxa"/>
                  <w:left w:w="108" w:type="dxa"/>
                  <w:bottom w:w="0" w:type="dxa"/>
                  <w:right w:w="108" w:type="dxa"/>
                </w:tblCellMar>
              </w:tblPrEx>
              <w:trPr>
                <w:trHeight w:val="482"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300" w:lineRule="exact"/>
                    <w:ind w:left="-46" w:leftChars="-52" w:right="-166" w:rightChars="-52" w:hanging="120" w:hangingChars="50"/>
                    <w:jc w:val="center"/>
                    <w:rPr>
                      <w:rFonts w:hint="default" w:ascii="Times New Roman" w:hAnsi="Times New Roman" w:eastAsia="仿宋_GB2312" w:cs="Times New Roman"/>
                      <w:b/>
                      <w:bCs/>
                      <w:color w:val="auto"/>
                      <w:kern w:val="0"/>
                      <w:sz w:val="24"/>
                      <w:szCs w:val="24"/>
                      <w:highlight w:val="none"/>
                      <w:lang w:bidi="ar-SA"/>
                    </w:rPr>
                  </w:pPr>
                  <w:bookmarkStart w:id="0" w:name="_Toc18451"/>
                  <w:r>
                    <w:rPr>
                      <w:rFonts w:hint="default" w:ascii="Times New Roman" w:hAnsi="Times New Roman" w:eastAsia="仿宋_GB2312" w:cs="Times New Roman"/>
                      <w:b/>
                      <w:bCs/>
                      <w:color w:val="auto"/>
                      <w:kern w:val="0"/>
                      <w:sz w:val="24"/>
                      <w:szCs w:val="24"/>
                      <w:highlight w:val="none"/>
                      <w:lang w:bidi="ar-SA"/>
                    </w:rPr>
                    <w:t>*姓名</w:t>
                  </w:r>
                </w:p>
              </w:tc>
              <w:tc>
                <w:tcPr>
                  <w:tcW w:w="1175"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8" w:space="0"/>
                    <w:left w:val="single" w:color="auto" w:sz="4" w:space="0"/>
                    <w:bottom w:val="single" w:color="auto" w:sz="4" w:space="0"/>
                    <w:right w:val="single" w:color="000000" w:sz="4" w:space="0"/>
                  </w:tcBorders>
                  <w:vAlign w:val="center"/>
                </w:tcPr>
                <w:p>
                  <w:pPr>
                    <w:widowControl/>
                    <w:snapToGrid w:val="0"/>
                    <w:spacing w:after="0" w:line="300" w:lineRule="exact"/>
                    <w:ind w:left="-98" w:leftChars="-31" w:right="-323" w:rightChars="-101" w:hanging="1" w:firstLineChars="0"/>
                    <w:jc w:val="left"/>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*社会保障号码</w:t>
                  </w:r>
                </w:p>
              </w:tc>
              <w:tc>
                <w:tcPr>
                  <w:tcW w:w="390"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77"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宋体" w:cs="Times New Roman"/>
                      <w:color w:val="auto"/>
                      <w:kern w:val="0"/>
                      <w:sz w:val="24"/>
                      <w:szCs w:val="24"/>
                      <w:highlight w:val="none"/>
                      <w:lang w:bidi="ar-SA"/>
                    </w:rPr>
                  </w:pPr>
                </w:p>
              </w:tc>
            </w:tr>
            <w:tr>
              <w:tblPrEx>
                <w:tblLayout w:type="fixed"/>
                <w:tblCellMar>
                  <w:top w:w="0" w:type="dxa"/>
                  <w:left w:w="108" w:type="dxa"/>
                  <w:bottom w:w="0" w:type="dxa"/>
                  <w:right w:w="108" w:type="dxa"/>
                </w:tblCellMar>
              </w:tblPrEx>
              <w:trPr>
                <w:trHeight w:val="418"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300" w:lineRule="exact"/>
                    <w:ind w:left="-46" w:leftChars="-52" w:right="-166" w:rightChars="-52" w:hanging="120" w:hangingChars="50"/>
                    <w:jc w:val="center"/>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bidi="ar-SA"/>
                    </w:rPr>
                    <w:t>*证件类型</w:t>
                  </w:r>
                </w:p>
              </w:tc>
              <w:tc>
                <w:tcPr>
                  <w:tcW w:w="1175" w:type="dxa"/>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8" w:space="0"/>
                    <w:left w:val="single" w:color="auto" w:sz="4" w:space="0"/>
                    <w:bottom w:val="single" w:color="auto" w:sz="4" w:space="0"/>
                    <w:right w:val="single" w:color="000000" w:sz="4" w:space="0"/>
                  </w:tcBorders>
                  <w:vAlign w:val="center"/>
                </w:tcPr>
                <w:p>
                  <w:pPr>
                    <w:widowControl/>
                    <w:snapToGrid w:val="0"/>
                    <w:spacing w:after="0" w:line="300" w:lineRule="exact"/>
                    <w:ind w:left="0" w:leftChars="0" w:right="-323" w:rightChars="-101" w:firstLine="0" w:firstLineChars="0"/>
                    <w:jc w:val="left"/>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eastAsia="zh-CN" w:bidi="ar-SA"/>
                    </w:rPr>
                    <w:t>*证件号码</w:t>
                  </w:r>
                </w:p>
              </w:tc>
              <w:tc>
                <w:tcPr>
                  <w:tcW w:w="6655" w:type="dxa"/>
                  <w:gridSpan w:val="25"/>
                  <w:tcBorders>
                    <w:top w:val="single" w:color="auto" w:sz="8" w:space="0"/>
                    <w:left w:val="nil"/>
                    <w:bottom w:val="single" w:color="auto" w:sz="4" w:space="0"/>
                    <w:right w:val="single" w:color="auto" w:sz="4" w:space="0"/>
                  </w:tcBorders>
                  <w:vAlign w:val="center"/>
                </w:tcPr>
                <w:p>
                  <w:pPr>
                    <w:widowControl/>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Layout w:type="fixed"/>
                <w:tblCellMar>
                  <w:top w:w="0" w:type="dxa"/>
                  <w:left w:w="108" w:type="dxa"/>
                  <w:bottom w:w="0" w:type="dxa"/>
                  <w:right w:w="108" w:type="dxa"/>
                </w:tblCellMar>
              </w:tblPrEx>
              <w:trPr>
                <w:trHeight w:val="394" w:hRule="atLeast"/>
              </w:trPr>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*性别</w:t>
                  </w:r>
                </w:p>
              </w:tc>
              <w:tc>
                <w:tcPr>
                  <w:tcW w:w="1175" w:type="dxa"/>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left"/>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*档案出生年月</w:t>
                  </w:r>
                </w:p>
              </w:tc>
              <w:tc>
                <w:tcPr>
                  <w:tcW w:w="2033" w:type="dxa"/>
                  <w:gridSpan w:val="9"/>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w:t>
                  </w:r>
                </w:p>
              </w:tc>
              <w:tc>
                <w:tcPr>
                  <w:tcW w:w="1487" w:type="dxa"/>
                  <w:gridSpan w:val="6"/>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申领待遇时岗位信息</w:t>
                  </w:r>
                </w:p>
              </w:tc>
              <w:tc>
                <w:tcPr>
                  <w:tcW w:w="3135" w:type="dxa"/>
                  <w:gridSpan w:val="10"/>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val="0"/>
                      <w:bCs/>
                      <w:color w:val="auto"/>
                      <w:kern w:val="0"/>
                      <w:sz w:val="24"/>
                      <w:szCs w:val="24"/>
                      <w:highlight w:val="none"/>
                      <w:lang w:bidi="ar-SA"/>
                    </w:rPr>
                    <w:t>□无工作单位</w:t>
                  </w:r>
                  <w:r>
                    <w:rPr>
                      <w:rFonts w:hint="default" w:ascii="Times New Roman" w:hAnsi="Times New Roman" w:eastAsia="仿宋_GB2312" w:cs="Times New Roman"/>
                      <w:b w:val="0"/>
                      <w:bCs/>
                      <w:color w:val="auto"/>
                      <w:kern w:val="0"/>
                      <w:sz w:val="24"/>
                      <w:szCs w:val="24"/>
                      <w:highlight w:val="none"/>
                    </w:rPr>
                    <w:t> </w:t>
                  </w:r>
                  <w:r>
                    <w:rPr>
                      <w:rFonts w:hint="default" w:ascii="Times New Roman" w:hAnsi="Times New Roman" w:eastAsia="仿宋_GB2312" w:cs="Times New Roman"/>
                      <w:b w:val="0"/>
                      <w:bCs/>
                      <w:color w:val="auto"/>
                      <w:kern w:val="0"/>
                      <w:sz w:val="24"/>
                      <w:szCs w:val="24"/>
                      <w:highlight w:val="none"/>
                      <w:lang w:bidi="ar-SA"/>
                    </w:rPr>
                    <w:t>□生产操作岗位 □管理技术岗位</w:t>
                  </w:r>
                </w:p>
              </w:tc>
            </w:tr>
            <w:tr>
              <w:tblPrEx>
                <w:tblLayout w:type="fixed"/>
                <w:tblCellMar>
                  <w:top w:w="0" w:type="dxa"/>
                  <w:left w:w="108" w:type="dxa"/>
                  <w:bottom w:w="0" w:type="dxa"/>
                  <w:right w:w="108" w:type="dxa"/>
                </w:tblCellMar>
              </w:tblPrEx>
              <w:trPr>
                <w:trHeight w:val="399" w:hRule="atLeast"/>
              </w:trPr>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*户籍地</w:t>
                  </w:r>
                </w:p>
              </w:tc>
              <w:tc>
                <w:tcPr>
                  <w:tcW w:w="3628" w:type="dxa"/>
                  <w:gridSpan w:val="6"/>
                  <w:tcBorders>
                    <w:top w:val="single" w:color="auto" w:sz="4" w:space="0"/>
                    <w:left w:val="single" w:color="auto" w:sz="4" w:space="0"/>
                    <w:bottom w:val="single" w:color="auto" w:sz="4" w:space="0"/>
                    <w:right w:val="single" w:color="auto" w:sz="4" w:space="0"/>
                  </w:tcBorders>
                  <w:vAlign w:val="center"/>
                </w:tcPr>
                <w:p>
                  <w:pPr>
                    <w:spacing w:after="0"/>
                    <w:ind w:firstLine="0" w:firstLineChars="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市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县（区）</w:t>
                  </w:r>
                </w:p>
              </w:tc>
              <w:tc>
                <w:tcPr>
                  <w:tcW w:w="1822" w:type="dxa"/>
                  <w:gridSpan w:val="8"/>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*最后参保地</w:t>
                  </w:r>
                </w:p>
              </w:tc>
              <w:tc>
                <w:tcPr>
                  <w:tcW w:w="4240" w:type="dxa"/>
                  <w:gridSpan w:val="14"/>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市</w:t>
                  </w:r>
                </w:p>
              </w:tc>
            </w:tr>
            <w:tr>
              <w:tblPrEx>
                <w:tblLayout w:type="fixed"/>
                <w:tblCellMar>
                  <w:top w:w="0" w:type="dxa"/>
                  <w:left w:w="108" w:type="dxa"/>
                  <w:bottom w:w="0" w:type="dxa"/>
                  <w:right w:w="108" w:type="dxa"/>
                </w:tblCellMar>
              </w:tblPrEx>
              <w:trPr>
                <w:trHeight w:val="397" w:hRule="atLeast"/>
              </w:trPr>
              <w:tc>
                <w:tcPr>
                  <w:tcW w:w="1456" w:type="dxa"/>
                  <w:tcBorders>
                    <w:top w:val="single" w:color="auto" w:sz="4" w:space="0"/>
                    <w:left w:val="single" w:color="auto" w:sz="4" w:space="0"/>
                    <w:bottom w:val="single" w:color="auto" w:sz="4" w:space="0"/>
                    <w:right w:val="single" w:color="auto" w:sz="4" w:space="0"/>
                  </w:tcBorders>
                  <w:vAlign w:val="center"/>
                </w:tcPr>
                <w:p>
                  <w:pPr>
                    <w:spacing w:after="0"/>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*手机号码</w:t>
                  </w:r>
                </w:p>
              </w:tc>
              <w:tc>
                <w:tcPr>
                  <w:tcW w:w="1937" w:type="dxa"/>
                  <w:gridSpan w:val="2"/>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p>
              </w:tc>
              <w:tc>
                <w:tcPr>
                  <w:tcW w:w="1185" w:type="dxa"/>
                  <w:gridSpan w:val="2"/>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电子邮箱</w:t>
                  </w:r>
                </w:p>
              </w:tc>
              <w:tc>
                <w:tcPr>
                  <w:tcW w:w="2328" w:type="dxa"/>
                  <w:gridSpan w:val="10"/>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最后缴费月</w:t>
                  </w:r>
                </w:p>
              </w:tc>
              <w:tc>
                <w:tcPr>
                  <w:tcW w:w="2661" w:type="dxa"/>
                  <w:gridSpan w:val="8"/>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年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月</w:t>
                  </w:r>
                </w:p>
              </w:tc>
            </w:tr>
            <w:tr>
              <w:tblPrEx>
                <w:tblLayout w:type="fixed"/>
                <w:tblCellMar>
                  <w:top w:w="0" w:type="dxa"/>
                  <w:left w:w="108" w:type="dxa"/>
                  <w:bottom w:w="0" w:type="dxa"/>
                  <w:right w:w="108" w:type="dxa"/>
                </w:tblCellMar>
              </w:tblPrEx>
              <w:trPr>
                <w:trHeight w:val="415" w:hRule="atLeast"/>
              </w:trPr>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联系地址</w:t>
                  </w:r>
                </w:p>
              </w:tc>
              <w:tc>
                <w:tcPr>
                  <w:tcW w:w="5450" w:type="dxa"/>
                  <w:gridSpan w:val="14"/>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邮政编码</w:t>
                  </w:r>
                </w:p>
              </w:tc>
              <w:tc>
                <w:tcPr>
                  <w:tcW w:w="2661" w:type="dxa"/>
                  <w:gridSpan w:val="8"/>
                  <w:tcBorders>
                    <w:top w:val="single" w:color="auto" w:sz="4" w:space="0"/>
                    <w:left w:val="single" w:color="auto" w:sz="4" w:space="0"/>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r>
            <w:tr>
              <w:tblPrEx>
                <w:tblLayout w:type="fixed"/>
                <w:tblCellMar>
                  <w:top w:w="0" w:type="dxa"/>
                  <w:left w:w="108" w:type="dxa"/>
                  <w:bottom w:w="0" w:type="dxa"/>
                  <w:right w:w="108" w:type="dxa"/>
                </w:tblCellMar>
              </w:tblPrEx>
              <w:trPr>
                <w:trHeight w:val="460" w:hRule="atLeast"/>
              </w:trPr>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*银行账号</w:t>
                  </w:r>
                </w:p>
              </w:tc>
              <w:tc>
                <w:tcPr>
                  <w:tcW w:w="3122"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153" w:type="dxa"/>
                  <w:gridSpan w:val="5"/>
                  <w:tcBorders>
                    <w:top w:val="single" w:color="auto" w:sz="4" w:space="0"/>
                    <w:left w:val="single" w:color="auto" w:sz="4" w:space="0"/>
                    <w:bottom w:val="single" w:color="auto" w:sz="4" w:space="0"/>
                    <w:right w:val="single" w:color="auto" w:sz="4" w:space="0"/>
                  </w:tcBorders>
                  <w:vAlign w:val="center"/>
                </w:tcPr>
                <w:p>
                  <w:pPr>
                    <w:spacing w:after="0"/>
                    <w:ind w:firstLine="0" w:firstLineChars="0"/>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*开户名</w:t>
                  </w:r>
                </w:p>
              </w:tc>
              <w:tc>
                <w:tcPr>
                  <w:tcW w:w="1175" w:type="dxa"/>
                  <w:gridSpan w:val="5"/>
                  <w:tcBorders>
                    <w:top w:val="single" w:color="auto" w:sz="4" w:space="0"/>
                    <w:left w:val="nil"/>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579" w:type="dxa"/>
                  <w:gridSpan w:val="6"/>
                  <w:tcBorders>
                    <w:top w:val="single" w:color="auto" w:sz="4" w:space="0"/>
                    <w:left w:val="nil"/>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bidi="ar-SA"/>
                    </w:rPr>
                    <w:t>*开户银行</w:t>
                  </w:r>
                </w:p>
              </w:tc>
              <w:tc>
                <w:tcPr>
                  <w:tcW w:w="2661" w:type="dxa"/>
                  <w:gridSpan w:val="8"/>
                  <w:tcBorders>
                    <w:top w:val="single" w:color="auto" w:sz="4" w:space="0"/>
                    <w:left w:val="nil"/>
                    <w:bottom w:val="single" w:color="auto" w:sz="4" w:space="0"/>
                    <w:right w:val="single" w:color="000000" w:sz="8" w:space="0"/>
                  </w:tcBorders>
                  <w:vAlign w:val="center"/>
                </w:tcPr>
                <w:p>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请申请人</w:t>
            </w:r>
            <w:r>
              <w:rPr>
                <w:rFonts w:hint="default" w:ascii="Times New Roman" w:hAnsi="Times New Roman" w:eastAsia="仿宋_GB2312" w:cs="Times New Roman"/>
                <w:b/>
                <w:bCs/>
                <w:color w:val="auto"/>
                <w:kern w:val="0"/>
                <w:sz w:val="24"/>
                <w:szCs w:val="24"/>
                <w:highlight w:val="none"/>
                <w:lang w:bidi="ar-SA"/>
              </w:rPr>
              <w:t>确认并勾选</w:t>
            </w:r>
            <w:r>
              <w:rPr>
                <w:rFonts w:hint="default" w:ascii="Times New Roman" w:hAnsi="Times New Roman" w:eastAsia="仿宋_GB2312" w:cs="Times New Roman"/>
                <w:b/>
                <w:bCs/>
                <w:color w:val="auto"/>
                <w:kern w:val="0"/>
                <w:sz w:val="24"/>
                <w:szCs w:val="24"/>
                <w:highlight w:val="none"/>
                <w:lang w:eastAsia="zh-CN" w:bidi="ar-SA"/>
              </w:rPr>
              <w:t>以下事项</w:t>
            </w:r>
            <w:r>
              <w:rPr>
                <w:rFonts w:hint="default" w:ascii="Times New Roman" w:hAnsi="Times New Roman" w:eastAsia="仿宋_GB2312" w:cs="Times New Roman"/>
                <w:b/>
                <w:bCs/>
                <w:color w:val="auto"/>
                <w:kern w:val="0"/>
                <w:sz w:val="24"/>
                <w:szCs w:val="24"/>
                <w:highlight w:val="none"/>
                <w:lang w:bidi="ar-SA"/>
              </w:rPr>
              <w:t>（</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bidi="ar-SA"/>
              </w:rPr>
              <w:t>：</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lang w:eastAsia="zh-CN"/>
              </w:rPr>
            </w:pPr>
            <w:bookmarkStart w:id="1" w:name="_Toc32167"/>
            <w:r>
              <w:rPr>
                <w:rFonts w:hint="default" w:ascii="Times New Roman" w:hAnsi="Times New Roman" w:eastAsia="仿宋_GB2312" w:cs="Times New Roman"/>
                <w:color w:val="auto"/>
                <w:sz w:val="20"/>
                <w:szCs w:val="20"/>
                <w:highlight w:val="none"/>
              </w:rPr>
              <w:t>□本人未在广东省外其他地区参保缴费</w:t>
            </w:r>
            <w:r>
              <w:rPr>
                <w:rFonts w:hint="default" w:ascii="Times New Roman" w:hAnsi="Times New Roman" w:eastAsia="仿宋_GB2312" w:cs="Times New Roman"/>
                <w:color w:val="auto"/>
                <w:sz w:val="20"/>
                <w:szCs w:val="20"/>
                <w:highlight w:val="none"/>
                <w:lang w:eastAsia="zh-CN"/>
              </w:rPr>
              <w:t>。</w:t>
            </w:r>
            <w:bookmarkEnd w:id="1"/>
            <w:bookmarkStart w:id="2" w:name="_Toc7234"/>
          </w:p>
          <w:p>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firstLine="200" w:firstLineChars="100"/>
              <w:textAlignment w:val="auto"/>
              <w:outlineLvl w:val="0"/>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□本人曾在广东省外其他地区参保缴费，现已按国家和省有关规定办理关系转移手续。</w:t>
            </w:r>
            <w:bookmarkEnd w:id="2"/>
          </w:p>
          <w:p>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rPr>
            </w:pPr>
            <w:bookmarkStart w:id="3" w:name="_Toc19806"/>
            <w:r>
              <w:rPr>
                <w:rFonts w:hint="default" w:ascii="Times New Roman" w:hAnsi="Times New Roman" w:eastAsia="仿宋_GB2312" w:cs="Times New Roman"/>
                <w:color w:val="auto"/>
                <w:sz w:val="20"/>
                <w:szCs w:val="20"/>
                <w:highlight w:val="none"/>
              </w:rPr>
              <w:t>2</w:t>
            </w:r>
            <w:r>
              <w:rPr>
                <w:rFonts w:hint="default" w:ascii="Times New Roman" w:hAnsi="Times New Roman"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rPr>
              <w:t xml:space="preserve"> □本人未在其他地区领取企业职工养老保险待遇，未在机关养老保险、居民养老保险或其他险种领取</w:t>
            </w:r>
            <w:r>
              <w:rPr>
                <w:rFonts w:hint="default" w:ascii="Times New Roman" w:hAnsi="Times New Roman" w:eastAsia="仿宋_GB2312" w:cs="Times New Roman"/>
                <w:color w:val="auto"/>
                <w:sz w:val="20"/>
                <w:szCs w:val="20"/>
                <w:highlight w:val="none"/>
                <w:lang w:val="en-US" w:eastAsia="zh-CN"/>
              </w:rPr>
              <w:t>社保</w:t>
            </w:r>
            <w:r>
              <w:rPr>
                <w:rFonts w:hint="default" w:ascii="Times New Roman" w:hAnsi="Times New Roman" w:eastAsia="仿宋_GB2312" w:cs="Times New Roman"/>
                <w:color w:val="auto"/>
                <w:sz w:val="20"/>
                <w:szCs w:val="20"/>
                <w:highlight w:val="none"/>
              </w:rPr>
              <w:t>待遇。</w:t>
            </w:r>
            <w:bookmarkEnd w:id="3"/>
          </w:p>
          <w:p>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lang w:eastAsia="zh-CN"/>
              </w:rPr>
            </w:pPr>
            <w:bookmarkStart w:id="4" w:name="_Toc29296"/>
            <w:r>
              <w:rPr>
                <w:rFonts w:hint="default" w:ascii="Times New Roman" w:hAnsi="Times New Roman" w:eastAsia="仿宋_GB2312" w:cs="Times New Roman"/>
                <w:color w:val="auto"/>
                <w:sz w:val="20"/>
                <w:szCs w:val="20"/>
                <w:highlight w:val="none"/>
              </w:rPr>
              <w:t>3</w:t>
            </w:r>
            <w:r>
              <w:rPr>
                <w:rFonts w:hint="default" w:ascii="Times New Roman" w:hAnsi="Times New Roman"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rPr>
              <w:t xml:space="preserve"> □本人从未涉及刑事责任</w:t>
            </w:r>
            <w:r>
              <w:rPr>
                <w:rFonts w:hint="default" w:ascii="Times New Roman" w:hAnsi="Times New Roman" w:eastAsia="仿宋_GB2312" w:cs="Times New Roman"/>
                <w:color w:val="auto"/>
                <w:sz w:val="20"/>
                <w:szCs w:val="20"/>
                <w:highlight w:val="none"/>
                <w:lang w:eastAsia="zh-CN"/>
              </w:rPr>
              <w:t>。</w:t>
            </w:r>
            <w:bookmarkEnd w:id="4"/>
          </w:p>
          <w:p>
            <w:pPr>
              <w:keepNext w:val="0"/>
              <w:keepLines w:val="0"/>
              <w:pageBreakBefore w:val="0"/>
              <w:widowControl w:val="0"/>
              <w:kinsoku/>
              <w:wordWrap/>
              <w:overflowPunct/>
              <w:topLinePunct w:val="0"/>
              <w:autoSpaceDE/>
              <w:autoSpaceDN/>
              <w:bidi w:val="0"/>
              <w:adjustRightInd/>
              <w:snapToGrid/>
              <w:spacing w:after="0" w:line="260" w:lineRule="exact"/>
              <w:ind w:firstLine="200" w:firstLineChars="100"/>
              <w:textAlignment w:val="auto"/>
              <w:outlineLvl w:val="0"/>
              <w:rPr>
                <w:rFonts w:hint="default" w:ascii="Times New Roman" w:hAnsi="Times New Roman" w:eastAsia="宋体" w:cs="Times New Roman"/>
                <w:b/>
                <w:bCs/>
                <w:color w:val="auto"/>
                <w:kern w:val="0"/>
                <w:sz w:val="18"/>
                <w:szCs w:val="18"/>
                <w:highlight w:val="none"/>
                <w:lang w:val="en-US" w:bidi="ar-SA"/>
              </w:rPr>
            </w:pPr>
            <w:bookmarkStart w:id="5" w:name="_Toc31863"/>
            <w:r>
              <w:rPr>
                <w:rFonts w:hint="default" w:ascii="Times New Roman" w:hAnsi="Times New Roman" w:eastAsia="仿宋_GB2312" w:cs="Times New Roman"/>
                <w:color w:val="auto"/>
                <w:sz w:val="20"/>
                <w:szCs w:val="20"/>
                <w:highlight w:val="none"/>
              </w:rPr>
              <w:t>□本人涉及刑事责任，现已符合申报待遇资格，并按要求提供法院判决书、刑满释放证明等材料。</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1117" w:type="dxa"/>
            <w:vAlign w:val="center"/>
          </w:tcPr>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b/>
                <w:bCs/>
                <w:color w:val="auto"/>
                <w:kern w:val="0"/>
                <w:sz w:val="21"/>
                <w:szCs w:val="21"/>
                <w:highlight w:val="none"/>
                <w:lang w:eastAsia="zh-CN" w:bidi="ar-SA"/>
              </w:rPr>
            </w:pPr>
            <w:bookmarkStart w:id="6" w:name="_Toc803"/>
            <w:r>
              <w:rPr>
                <w:rFonts w:hint="default" w:ascii="Times New Roman" w:hAnsi="Times New Roman" w:eastAsia="仿宋_GB2312" w:cs="Times New Roman"/>
                <w:b/>
                <w:bCs/>
                <w:color w:val="auto"/>
                <w:kern w:val="0"/>
                <w:sz w:val="21"/>
                <w:szCs w:val="21"/>
                <w:highlight w:val="none"/>
                <w:lang w:eastAsia="zh-CN" w:bidi="ar-SA"/>
              </w:rPr>
              <w:t>社会保险经办机构告知内容：</w:t>
            </w:r>
            <w:bookmarkEnd w:id="6"/>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bookmarkStart w:id="7" w:name="_Toc13594"/>
            <w:r>
              <w:rPr>
                <w:rFonts w:hint="default" w:ascii="Times New Roman" w:hAnsi="Times New Roman" w:eastAsia="仿宋_GB2312" w:cs="Times New Roman"/>
                <w:color w:val="auto"/>
                <w:sz w:val="20"/>
                <w:szCs w:val="20"/>
                <w:highlight w:val="none"/>
                <w:lang w:val="en-US" w:eastAsia="zh-CN"/>
              </w:rPr>
              <w:t>1.申请资格：参保人员达到法定退休年龄前因病或者非因工致残经鉴定为完全丧失劳动能力的，可以申请按月领取病残津贴。</w:t>
            </w:r>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跨省流动就业人员待遇领取地确认：跨省流动就业的参保人员达到待遇领取条件时，按下列规定确定其待遇领取地：基本养老保险关系在户籍所在地的，由户籍所在地负责办理待遇领取手续，享受基本养老保险待遇；基本养老保险关系不在户籍所在地，而在其基本养老保险关系所在地累计缴费年限满10年的，在该地办理待遇领取手续，享受当地基本养老保险待遇；基本养老保险关系不在户籍所在地，且在其基本养老保险关系所在地累计缴费年限不满10年的，将其基本养老保险关系转回上一个缴费年限满10年的原参保地办理待遇领取手续，享受基本养老保险待遇；基本养老保险关系不在户籍所在地，且在每个参保地的累计缴费年限均不满10年的，将其基本养老保险关系及相应资金归集到户籍所在地，由户籍所在地按规定办理待遇领取手续，享受基本养老保险待遇。</w:t>
            </w:r>
            <w:r>
              <w:rPr>
                <w:rFonts w:hint="default" w:ascii="Times New Roman" w:hAnsi="Times New Roman" w:eastAsia="仿宋_GB2312" w:cs="Times New Roman"/>
                <w:color w:val="auto"/>
                <w:sz w:val="20"/>
                <w:szCs w:val="20"/>
                <w:highlight w:val="yellow"/>
                <w:lang w:val="en-US" w:eastAsia="zh-CN"/>
              </w:rPr>
              <w:br w:type="textWrapping"/>
            </w:r>
            <w:r>
              <w:rPr>
                <w:rFonts w:hint="default" w:ascii="Times New Roman" w:hAnsi="Times New Roman" w:eastAsia="仿宋_GB2312" w:cs="Times New Roman"/>
                <w:color w:val="auto"/>
                <w:sz w:val="20"/>
                <w:szCs w:val="20"/>
                <w:highlight w:val="none"/>
                <w:lang w:val="en-US" w:eastAsia="zh-CN"/>
              </w:rPr>
              <w:t>3.经审核符合病残津贴领取条件的，病残津贴将从参保人员申请次月起计发，发放至参保人员社会保障卡银行账户。</w:t>
            </w:r>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w:t>
            </w:r>
            <w:r>
              <w:rPr>
                <w:rFonts w:hint="default" w:ascii="Times New Roman" w:hAnsi="Times New Roman" w:eastAsia="仿宋_GB2312" w:cs="Times New Roman"/>
                <w:color w:val="auto"/>
                <w:sz w:val="20"/>
                <w:szCs w:val="20"/>
                <w:highlight w:val="none"/>
                <w:lang w:val="en-US" w:eastAsia="zh-CN"/>
              </w:rPr>
              <w:t>参保人员领取病残津贴期间，不再缴纳基本养老保险费。继续就业并按国家规定缴费的，自恢复缴费次月起，停发病残津贴。</w:t>
            </w:r>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w:t>
            </w:r>
            <w:r>
              <w:rPr>
                <w:rFonts w:hint="default" w:ascii="Times New Roman" w:hAnsi="Times New Roman" w:eastAsia="仿宋_GB2312" w:cs="Times New Roman"/>
                <w:color w:val="auto"/>
                <w:sz w:val="20"/>
                <w:szCs w:val="20"/>
                <w:highlight w:val="none"/>
                <w:lang w:val="en-US" w:eastAsia="zh-CN"/>
              </w:rPr>
              <w:t>.病残津贴领取人员收到人力资源社会保障部门要求进行劳动能力复查鉴定通知后，应按规定配合。在应复查鉴定的60 日内未按规定参加复查鉴定或复查结论为未完全丧失劳动能力的，从次月起停发病残津贴。</w:t>
            </w:r>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仿宋_GB2312" w:cs="Times New Roman"/>
                <w:color w:val="auto"/>
                <w:sz w:val="20"/>
                <w:szCs w:val="20"/>
                <w:highlight w:val="none"/>
                <w:lang w:val="en-US" w:eastAsia="zh-CN"/>
              </w:rPr>
              <w:t>.病残津贴领取人员应如实提供申报材料，提供虚假材料、虚假承诺的</w:t>
            </w:r>
            <w:r>
              <w:rPr>
                <w:rFonts w:hint="eastAsia"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val="en-US" w:eastAsia="zh-CN"/>
              </w:rPr>
              <w:t>应承担相关法律责任。如发现个人多享受社会保险待遇的，社会保险经办机构责令退回，后续可以按规定从其后续享受的社会保险待遇或者个人账户余额中抵扣。个人账户余额和遗属待遇不足抵扣多领待遇的，或者申请人以欺诈等方式骗取待遇的，或者社会保险经办机构错发、多发待遇的，社会保险经办机构从申请人领取</w:t>
            </w:r>
            <w:r>
              <w:rPr>
                <w:rFonts w:hint="eastAsia" w:cs="Times New Roman"/>
                <w:color w:val="auto"/>
                <w:sz w:val="20"/>
                <w:szCs w:val="20"/>
                <w:highlight w:val="none"/>
                <w:lang w:val="en-US" w:eastAsia="zh-CN"/>
              </w:rPr>
              <w:t>病残津贴</w:t>
            </w:r>
            <w:r>
              <w:rPr>
                <w:rFonts w:hint="default" w:ascii="Times New Roman" w:hAnsi="Times New Roman" w:eastAsia="仿宋_GB2312" w:cs="Times New Roman"/>
                <w:color w:val="auto"/>
                <w:sz w:val="20"/>
                <w:szCs w:val="20"/>
                <w:highlight w:val="none"/>
                <w:lang w:val="en-US" w:eastAsia="zh-CN"/>
              </w:rPr>
              <w:t>待遇银行账户扣回；仍无法追回的，依法向法院申请强制执行；符合严重失信人员行为的，纳入失信人员名单管理，并实施联合惩戒。</w:t>
            </w:r>
            <w:bookmarkEnd w:id="7"/>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bookmarkStart w:id="8" w:name="_Toc24127"/>
            <w:r>
              <w:rPr>
                <w:rFonts w:hint="default" w:ascii="Times New Roman" w:hAnsi="Times New Roman" w:cs="Times New Roman"/>
                <w:color w:val="auto"/>
                <w:sz w:val="20"/>
                <w:szCs w:val="20"/>
                <w:highlight w:val="none"/>
                <w:lang w:val="en-US" w:eastAsia="zh-CN"/>
              </w:rPr>
              <w:t>7</w:t>
            </w:r>
            <w:r>
              <w:rPr>
                <w:rFonts w:hint="default" w:ascii="Times New Roman" w:hAnsi="Times New Roman" w:eastAsia="仿宋_GB2312" w:cs="Times New Roman"/>
                <w:color w:val="auto"/>
                <w:sz w:val="20"/>
                <w:szCs w:val="20"/>
                <w:highlight w:val="none"/>
                <w:lang w:val="en-US" w:eastAsia="zh-CN"/>
              </w:rPr>
              <w:t>.病残津贴领取人员应按规定参加待遇领取资格认证，认证周期最长不超过12个月。逾期不进行认证的，社保经办机构将从上次认证之月的第13个月起停发病残津贴。新增病残津贴领取人员从待遇核定次月起计算认证周期。具体认证办法请按照</w:t>
            </w:r>
            <w:r>
              <w:rPr>
                <w:rFonts w:hint="eastAsia" w:cs="Times New Roman"/>
                <w:color w:val="auto"/>
                <w:sz w:val="20"/>
                <w:szCs w:val="20"/>
                <w:highlight w:val="none"/>
                <w:lang w:val="en-US" w:eastAsia="zh-CN"/>
              </w:rPr>
              <w:t>社会保险</w:t>
            </w:r>
            <w:r>
              <w:rPr>
                <w:rFonts w:hint="default" w:ascii="Times New Roman" w:hAnsi="Times New Roman" w:eastAsia="仿宋_GB2312" w:cs="Times New Roman"/>
                <w:color w:val="auto"/>
                <w:sz w:val="20"/>
                <w:szCs w:val="20"/>
                <w:highlight w:val="none"/>
                <w:lang w:val="en-US" w:eastAsia="zh-CN"/>
              </w:rPr>
              <w:t>经办机构有关通知执行。</w:t>
            </w:r>
            <w:bookmarkEnd w:id="8"/>
          </w:p>
          <w:p>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4"/>
                <w:szCs w:val="24"/>
                <w:highlight w:val="none"/>
                <w:lang w:eastAsia="zh-CN"/>
              </w:rPr>
            </w:pPr>
            <w:bookmarkStart w:id="9" w:name="_Toc26537"/>
            <w:r>
              <w:rPr>
                <w:rFonts w:hint="default" w:ascii="Times New Roman" w:hAnsi="Times New Roman" w:cs="Times New Roman"/>
                <w:color w:val="auto"/>
                <w:sz w:val="20"/>
                <w:szCs w:val="20"/>
                <w:highlight w:val="none"/>
                <w:lang w:val="en-US" w:eastAsia="zh-CN"/>
              </w:rPr>
              <w:t>8</w:t>
            </w:r>
            <w:r>
              <w:rPr>
                <w:rFonts w:hint="default" w:ascii="Times New Roman" w:hAnsi="Times New Roman" w:eastAsia="仿宋_GB2312" w:cs="Times New Roman"/>
                <w:color w:val="auto"/>
                <w:sz w:val="20"/>
                <w:szCs w:val="20"/>
                <w:highlight w:val="none"/>
                <w:lang w:val="en-US" w:eastAsia="zh-CN"/>
              </w:rPr>
              <w:t>.《中华人民共和国社会保险法》第八十八条规定</w:t>
            </w:r>
            <w:r>
              <w:rPr>
                <w:rFonts w:hint="eastAsia"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val="en-US" w:eastAsia="zh-CN"/>
              </w:rPr>
              <w:t>以欺诈、伪造证明材料或者其他手段骗取社会保险待遇的，由社会保险行政部门责令退回骗取的社会保险金，处骗取金额二倍以上五倍以下的罚款</w:t>
            </w:r>
            <w:r>
              <w:rPr>
                <w:rFonts w:hint="eastAsia" w:cs="Times New Roman"/>
                <w:color w:val="auto"/>
                <w:sz w:val="20"/>
                <w:szCs w:val="20"/>
                <w:highlight w:val="none"/>
                <w:lang w:val="en-US" w:eastAsia="zh-CN"/>
              </w:rPr>
              <w:t>；第九十四条规定，</w:t>
            </w:r>
            <w:r>
              <w:rPr>
                <w:rFonts w:hint="default" w:ascii="Times New Roman" w:hAnsi="Times New Roman" w:eastAsia="仿宋_GB2312" w:cs="Times New Roman"/>
                <w:color w:val="auto"/>
                <w:sz w:val="20"/>
                <w:szCs w:val="20"/>
                <w:highlight w:val="none"/>
                <w:lang w:val="en-US" w:eastAsia="zh-CN"/>
              </w:rPr>
              <w:t>构成犯罪的依法追究刑事责任。</w:t>
            </w:r>
            <w:bookmarkEnd w:id="9"/>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25" w:hRule="atLeast"/>
          <w:jc w:val="center"/>
        </w:trPr>
        <w:tc>
          <w:tcPr>
            <w:tcW w:w="11117" w:type="dxa"/>
            <w:vAlign w:val="top"/>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textAlignment w:val="auto"/>
              <w:rPr>
                <w:rFonts w:hint="default" w:ascii="Times New Roman" w:hAnsi="Times New Roman" w:eastAsia="仿宋_GB2312" w:cs="Times New Roman"/>
                <w:color w:val="auto"/>
                <w:kern w:val="0"/>
                <w:sz w:val="20"/>
                <w:szCs w:val="20"/>
                <w:highlight w:val="none"/>
                <w:lang w:bidi="ar-SA"/>
              </w:rPr>
            </w:pPr>
          </w:p>
          <w:p>
            <w:pPr>
              <w:keepNext w:val="0"/>
              <w:keepLines w:val="0"/>
              <w:pageBreakBefore w:val="0"/>
              <w:widowControl/>
              <w:kinsoku/>
              <w:wordWrap/>
              <w:overflowPunct/>
              <w:topLinePunct w:val="0"/>
              <w:autoSpaceDE/>
              <w:autoSpaceDN/>
              <w:bidi w:val="0"/>
              <w:adjustRightInd/>
              <w:snapToGrid/>
              <w:spacing w:after="0" w:line="240" w:lineRule="exact"/>
              <w:ind w:firstLine="400" w:firstLineChars="200"/>
              <w:textAlignment w:val="auto"/>
              <w:rPr>
                <w:rFonts w:hint="default" w:ascii="Times New Roman" w:hAnsi="Times New Roman" w:eastAsia="仿宋_GB2312" w:cs="Times New Roman"/>
                <w:color w:val="auto"/>
                <w:kern w:val="0"/>
                <w:sz w:val="21"/>
                <w:szCs w:val="21"/>
                <w:highlight w:val="none"/>
                <w:lang w:bidi="ar-SA"/>
              </w:rPr>
            </w:pPr>
            <w:r>
              <w:rPr>
                <w:rFonts w:hint="default" w:ascii="Times New Roman" w:hAnsi="Times New Roman" w:eastAsia="仿宋_GB2312" w:cs="Times New Roman"/>
                <w:color w:val="auto"/>
                <w:kern w:val="0"/>
                <w:sz w:val="20"/>
                <w:szCs w:val="20"/>
                <w:highlight w:val="none"/>
                <w:lang w:bidi="ar-SA"/>
              </w:rPr>
              <w:t>本人确认上述申报信息无误</w:t>
            </w:r>
            <w:r>
              <w:rPr>
                <w:rFonts w:hint="default" w:ascii="Times New Roman" w:hAnsi="Times New Roman" w:eastAsia="仿宋_GB2312" w:cs="Times New Roman"/>
                <w:color w:val="auto"/>
                <w:kern w:val="0"/>
                <w:sz w:val="20"/>
                <w:szCs w:val="20"/>
                <w:highlight w:val="none"/>
                <w:lang w:eastAsia="zh-CN" w:bidi="ar-SA"/>
              </w:rPr>
              <w:t>同意申报</w:t>
            </w:r>
            <w:r>
              <w:rPr>
                <w:rFonts w:hint="default" w:ascii="Times New Roman" w:hAnsi="Times New Roman" w:eastAsia="仿宋_GB2312" w:cs="Times New Roman"/>
                <w:color w:val="auto"/>
                <w:kern w:val="0"/>
                <w:sz w:val="20"/>
                <w:szCs w:val="20"/>
                <w:highlight w:val="none"/>
                <w:lang w:bidi="ar-SA"/>
              </w:rPr>
              <w:t>，并知悉如提供虚假情况及资料，需承担相关法律责任。若出现以上告知内容相应情形的，同意社会保险经办机构按照上述告知方式执行。</w:t>
            </w:r>
          </w:p>
          <w:p>
            <w:pPr>
              <w:keepNext w:val="0"/>
              <w:keepLines w:val="0"/>
              <w:pageBreakBefore w:val="0"/>
              <w:widowControl/>
              <w:kinsoku/>
              <w:wordWrap/>
              <w:overflowPunct/>
              <w:topLinePunct w:val="0"/>
              <w:autoSpaceDE/>
              <w:autoSpaceDN/>
              <w:bidi w:val="0"/>
              <w:adjustRightInd/>
              <w:snapToGrid w:val="0"/>
              <w:spacing w:after="0" w:line="240" w:lineRule="exact"/>
              <w:ind w:right="-159" w:firstLine="0" w:firstLineChars="0"/>
              <w:jc w:val="both"/>
              <w:textAlignment w:val="auto"/>
              <w:rPr>
                <w:rFonts w:hint="default" w:ascii="Times New Roman" w:hAnsi="Times New Roman" w:eastAsia="仿宋_GB2312" w:cs="Times New Roman"/>
                <w:color w:val="auto"/>
                <w:kern w:val="0"/>
                <w:sz w:val="21"/>
                <w:szCs w:val="21"/>
                <w:highlight w:val="none"/>
                <w:lang w:bidi="ar-SA"/>
              </w:rPr>
            </w:pPr>
          </w:p>
          <w:p>
            <w:pPr>
              <w:keepNext w:val="0"/>
              <w:keepLines w:val="0"/>
              <w:pageBreakBefore w:val="0"/>
              <w:widowControl/>
              <w:kinsoku/>
              <w:wordWrap/>
              <w:overflowPunct/>
              <w:topLinePunct w:val="0"/>
              <w:autoSpaceDE/>
              <w:autoSpaceDN/>
              <w:bidi w:val="0"/>
              <w:adjustRightInd/>
              <w:snapToGrid w:val="0"/>
              <w:spacing w:after="0" w:line="240" w:lineRule="exact"/>
              <w:ind w:right="-159"/>
              <w:jc w:val="both"/>
              <w:textAlignment w:val="auto"/>
              <w:rPr>
                <w:rFonts w:hint="default" w:ascii="Times New Roman" w:hAnsi="Times New Roman" w:eastAsia="仿宋_GB2312" w:cs="Times New Roman"/>
                <w:color w:val="auto"/>
                <w:kern w:val="2"/>
                <w:sz w:val="22"/>
                <w:szCs w:val="22"/>
                <w:highlight w:val="none"/>
                <w:lang w:bidi="ar-SA"/>
              </w:rPr>
            </w:pPr>
            <w:r>
              <w:rPr>
                <w:rFonts w:hint="default" w:ascii="Times New Roman" w:hAnsi="Times New Roman" w:eastAsia="仿宋_GB2312" w:cs="Times New Roman"/>
                <w:color w:val="auto"/>
                <w:kern w:val="0"/>
                <w:sz w:val="21"/>
                <w:szCs w:val="21"/>
                <w:highlight w:val="none"/>
                <w:lang w:eastAsia="zh-CN" w:bidi="ar-SA"/>
              </w:rPr>
              <w:t>申请人</w:t>
            </w:r>
            <w:r>
              <w:rPr>
                <w:rFonts w:hint="default" w:ascii="Times New Roman" w:hAnsi="Times New Roman" w:eastAsia="仿宋_GB2312" w:cs="Times New Roman"/>
                <w:color w:val="auto"/>
                <w:kern w:val="0"/>
                <w:sz w:val="21"/>
                <w:szCs w:val="21"/>
                <w:highlight w:val="none"/>
                <w:lang w:bidi="ar-SA"/>
              </w:rPr>
              <w:t>签名：</w:t>
            </w:r>
            <w:r>
              <w:rPr>
                <w:rFonts w:hint="default" w:ascii="Times New Roman" w:hAnsi="Times New Roman" w:eastAsia="仿宋_GB2312" w:cs="Times New Roman"/>
                <w:color w:val="auto"/>
                <w:kern w:val="0"/>
                <w:sz w:val="21"/>
                <w:szCs w:val="21"/>
                <w:highlight w:val="none"/>
                <w:lang w:val="en-US" w:eastAsia="zh-CN" w:bidi="ar-SA"/>
              </w:rPr>
              <w:t xml:space="preserve">            </w:t>
            </w:r>
            <w:r>
              <w:rPr>
                <w:rFonts w:hint="default" w:ascii="Times New Roman" w:hAnsi="Times New Roman" w:eastAsia="仿宋_GB2312" w:cs="Times New Roman"/>
                <w:color w:val="auto"/>
                <w:kern w:val="0"/>
                <w:sz w:val="21"/>
                <w:szCs w:val="21"/>
                <w:highlight w:val="none"/>
                <w:lang w:bidi="ar-SA"/>
              </w:rPr>
              <w:t xml:space="preserve">      </w:t>
            </w:r>
            <w:r>
              <w:rPr>
                <w:rFonts w:hint="default" w:ascii="Times New Roman" w:hAnsi="Times New Roman" w:cs="Times New Roman"/>
                <w:color w:val="auto"/>
                <w:kern w:val="0"/>
                <w:sz w:val="21"/>
                <w:szCs w:val="21"/>
                <w:highlight w:val="none"/>
                <w:lang w:val="en-US" w:eastAsia="zh-CN" w:bidi="ar-SA"/>
              </w:rPr>
              <w:t xml:space="preserve">                  申请时间：        </w:t>
            </w:r>
            <w:r>
              <w:rPr>
                <w:rFonts w:hint="default" w:ascii="Times New Roman" w:hAnsi="Times New Roman" w:eastAsia="仿宋_GB2312" w:cs="Times New Roman"/>
                <w:color w:val="auto"/>
                <w:kern w:val="0"/>
                <w:sz w:val="21"/>
                <w:szCs w:val="21"/>
                <w:highlight w:val="none"/>
                <w:lang w:bidi="ar-SA"/>
              </w:rPr>
              <w:t xml:space="preserve"> 年 </w:t>
            </w:r>
            <w:r>
              <w:rPr>
                <w:rFonts w:hint="default" w:ascii="Times New Roman" w:hAnsi="Times New Roman" w:eastAsia="仿宋_GB2312" w:cs="Times New Roman"/>
                <w:color w:val="auto"/>
                <w:kern w:val="0"/>
                <w:sz w:val="21"/>
                <w:szCs w:val="21"/>
                <w:highlight w:val="none"/>
                <w:lang w:val="en-US" w:eastAsia="zh-CN" w:bidi="ar-SA"/>
              </w:rPr>
              <w:t xml:space="preserve"> </w:t>
            </w:r>
            <w:r>
              <w:rPr>
                <w:rFonts w:hint="default" w:ascii="Times New Roman" w:hAnsi="Times New Roman" w:eastAsia="仿宋_GB2312" w:cs="Times New Roman"/>
                <w:color w:val="auto"/>
                <w:kern w:val="0"/>
                <w:sz w:val="21"/>
                <w:szCs w:val="21"/>
                <w:highlight w:val="none"/>
                <w:lang w:bidi="ar-SA"/>
              </w:rPr>
              <w:t xml:space="preserve">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E0A26"/>
    <w:multiLevelType w:val="singleLevel"/>
    <w:tmpl w:val="5A8E0A2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1E26"/>
    <w:rsid w:val="2EC0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eastAsia="仿宋_GB2312" w:cs="Times New Roman"/>
      <w:szCs w:val="21"/>
    </w:rPr>
  </w:style>
  <w:style w:type="paragraph" w:styleId="3">
    <w:name w:val="toc 5"/>
    <w:basedOn w:val="1"/>
    <w:next w:val="1"/>
    <w:uiPriority w:val="0"/>
    <w:pPr>
      <w:widowControl w:val="0"/>
      <w:spacing w:before="0" w:after="0"/>
      <w:ind w:left="800" w:leftChars="800" w:right="0"/>
      <w:jc w:val="both"/>
    </w:pPr>
    <w:rPr>
      <w:rFonts w:ascii="Times New Roman" w:hAnsi="Times New Roman" w:eastAsia="仿宋" w:cs="Times New Roman"/>
      <w:kern w:val="2"/>
      <w:sz w:val="32"/>
      <w:szCs w:val="32"/>
      <w:lang w:val="en-US" w:eastAsia="zh-CN" w:bidi="ar-SA"/>
    </w:rPr>
  </w:style>
  <w:style w:type="paragraph" w:styleId="4">
    <w:name w:val="index 5"/>
    <w:basedOn w:val="1"/>
    <w:next w:val="1"/>
    <w:uiPriority w:val="0"/>
    <w:pPr>
      <w:ind w:left="1680"/>
    </w:pPr>
    <w:rPr>
      <w:rFonts w:ascii="Calibri" w:hAnsi="Calibri" w:eastAsia="宋体" w:cs="Times New Roman"/>
    </w:rPr>
  </w:style>
  <w:style w:type="paragraph" w:styleId="5">
    <w:name w:val="footer"/>
    <w:basedOn w:val="1"/>
    <w:next w:val="4"/>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2025-06-13T07:06:00Z</dcterms:created>
  <dc:creator>林文娇</dc:creator>
  <cp:lastModifiedBy>林文娇</cp:lastModifiedBy>
  <dcterms:modified xsi:type="dcterms:W3CDTF">2025-06-13T07:07:40Z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