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spacing w:line="580" w:lineRule="exact"/>
        <w:ind w:left="0" w:leftChars="0" w:firstLine="0" w:firstLineChars="0"/>
        <w:rPr>
          <w:rFonts w:hint="default" w:ascii="黑体" w:hAnsi="黑体" w:eastAsia="黑体" w:cs="黑体"/>
          <w:lang w:eastAsia="zh-CN"/>
        </w:rPr>
      </w:pPr>
      <w:bookmarkStart w:id="0" w:name="_Toc5117"/>
      <w:bookmarkStart w:id="1" w:name="_Toc14943"/>
      <w:bookmarkStart w:id="2" w:name="_Toc22327"/>
      <w:bookmarkStart w:id="3" w:name="_Toc13699"/>
      <w:bookmarkStart w:id="4" w:name="_Toc30805"/>
      <w:bookmarkStart w:id="5" w:name="_Toc23537"/>
      <w:bookmarkStart w:id="6" w:name="_Toc18710"/>
      <w:bookmarkStart w:id="7" w:name="_Toc2451"/>
      <w:bookmarkStart w:id="8" w:name="_Toc30656"/>
      <w:bookmarkStart w:id="9" w:name="_Toc16190"/>
      <w:bookmarkStart w:id="10" w:name="_Toc7359"/>
      <w:bookmarkStart w:id="11" w:name="_Toc13859"/>
      <w:bookmarkStart w:id="12" w:name="_Toc3661"/>
      <w:bookmarkStart w:id="13" w:name="_Toc18941"/>
      <w:bookmarkStart w:id="14" w:name="_Toc4607"/>
      <w:bookmarkStart w:id="15" w:name="_Toc18316"/>
      <w:bookmarkStart w:id="16" w:name="_Toc29470"/>
      <w:bookmarkStart w:id="17" w:name="_Toc21271"/>
      <w:bookmarkStart w:id="18" w:name="_Toc3448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黑体" w:hAnsi="黑体" w:eastAsia="黑体" w:cs="黑体"/>
          <w:lang w:eastAsia="zh-CN"/>
        </w:rPr>
        <w:t>4</w:t>
      </w:r>
      <w:bookmarkStart w:id="438" w:name="_GoBack"/>
      <w:bookmarkEnd w:id="438"/>
    </w:p>
    <w:p>
      <w:pPr>
        <w:pStyle w:val="3"/>
        <w:outlineLvl w:val="9"/>
        <w:rPr>
          <w:rFonts w:hint="eastAsia" w:ascii="仿宋_GB2312" w:hAnsi="仿宋_GB2312"/>
          <w:b w:val="0"/>
          <w:bCs w:val="0"/>
        </w:rPr>
      </w:pPr>
    </w:p>
    <w:p>
      <w:pPr>
        <w:pStyle w:val="3"/>
        <w:outlineLvl w:val="9"/>
        <w:rPr>
          <w:rFonts w:hint="eastAsia" w:ascii="仿宋_GB2312" w:hAnsi="仿宋_GB2312"/>
          <w:b w:val="0"/>
          <w:bCs w:val="0"/>
        </w:rPr>
      </w:pPr>
    </w:p>
    <w:p>
      <w:pPr>
        <w:pStyle w:val="3"/>
        <w:outlineLvl w:val="9"/>
        <w:rPr>
          <w:rFonts w:hint="eastAsia" w:ascii="仿宋_GB2312" w:hAnsi="仿宋_GB2312"/>
          <w:b w:val="0"/>
          <w:bCs w:val="0"/>
        </w:rPr>
      </w:pPr>
    </w:p>
    <w:p>
      <w:pPr>
        <w:pStyle w:val="3"/>
        <w:outlineLvl w:val="9"/>
        <w:rPr>
          <w:rFonts w:hint="eastAsia" w:ascii="仿宋_GB2312" w:hAnsi="仿宋_GB2312"/>
          <w:b w:val="0"/>
          <w:bCs w:val="0"/>
        </w:rPr>
      </w:pPr>
    </w:p>
    <w:p>
      <w:pPr>
        <w:pStyle w:val="3"/>
        <w:jc w:val="both"/>
        <w:outlineLvl w:val="9"/>
        <w:rPr>
          <w:rFonts w:hint="eastAsia" w:ascii="仿宋_GB2312" w:hAnsi="仿宋_GB2312"/>
          <w:b w:val="0"/>
          <w:bCs w:val="0"/>
        </w:rPr>
      </w:pPr>
    </w:p>
    <w:p>
      <w:pPr>
        <w:pStyle w:val="3"/>
        <w:outlineLvl w:val="9"/>
        <w:rPr>
          <w:rFonts w:hint="eastAsia" w:ascii="仿宋_GB2312" w:hAnsi="仿宋_GB2312"/>
          <w:b w:val="0"/>
          <w:bCs w:val="0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19" w:name="_Toc9148"/>
      <w:bookmarkStart w:id="20" w:name="_Toc5531"/>
      <w:bookmarkStart w:id="21" w:name="_Toc14237"/>
      <w:bookmarkStart w:id="22" w:name="_Toc15788"/>
      <w:bookmarkStart w:id="23" w:name="_Toc14036"/>
      <w:bookmarkStart w:id="24" w:name="_Toc22409"/>
      <w:bookmarkStart w:id="25" w:name="_Toc20694"/>
      <w:bookmarkStart w:id="26" w:name="_Toc3263"/>
      <w:bookmarkStart w:id="27" w:name="_Toc2230"/>
      <w:bookmarkStart w:id="28" w:name="_Toc872"/>
      <w:bookmarkStart w:id="29" w:name="_Toc13004"/>
      <w:bookmarkStart w:id="30" w:name="_Toc2430"/>
      <w:bookmarkStart w:id="31" w:name="_Toc20703"/>
      <w:bookmarkStart w:id="32" w:name="_Toc31821"/>
      <w:bookmarkStart w:id="33" w:name="_Toc6515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val="en-US" w:eastAsia="zh-CN"/>
        </w:rPr>
        <w:t>超高清视频显示</w:t>
      </w:r>
      <w:r>
        <w:rPr>
          <w:rFonts w:hint="eastAsia" w:ascii="仿宋_GB2312" w:hAnsi="仿宋_GB2312"/>
          <w:b w:val="0"/>
          <w:bCs w:val="0"/>
        </w:rPr>
        <w:t>产业高端紧缺</w:t>
      </w:r>
      <w:bookmarkEnd w:id="19"/>
      <w:bookmarkEnd w:id="20"/>
      <w:bookmarkEnd w:id="21"/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34" w:name="_Toc10142"/>
      <w:bookmarkStart w:id="35" w:name="_Toc1172"/>
      <w:bookmarkStart w:id="36" w:name="_Toc24275"/>
      <w:r>
        <w:rPr>
          <w:rFonts w:hint="eastAsia" w:ascii="仿宋_GB2312" w:hAnsi="仿宋_GB2312"/>
          <w:b w:val="0"/>
          <w:bCs w:val="0"/>
        </w:rPr>
        <w:t>岗位清单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37" w:name="_Toc5682"/>
      <w:bookmarkStart w:id="38" w:name="_Toc10109"/>
      <w:bookmarkStart w:id="39" w:name="_Toc4528"/>
      <w:bookmarkStart w:id="40" w:name="_Toc9528"/>
      <w:bookmarkStart w:id="41" w:name="_Toc18019"/>
      <w:bookmarkStart w:id="42" w:name="_Toc30683"/>
      <w:bookmarkStart w:id="43" w:name="_Toc7153"/>
      <w:bookmarkStart w:id="44" w:name="_Toc18590"/>
      <w:bookmarkStart w:id="45" w:name="_Toc378"/>
      <w:bookmarkStart w:id="46" w:name="_Toc28103"/>
      <w:bookmarkStart w:id="47" w:name="_Toc29870"/>
      <w:bookmarkStart w:id="48" w:name="_Toc29205"/>
      <w:bookmarkStart w:id="49" w:name="_Toc22397"/>
      <w:bookmarkStart w:id="50" w:name="_Toc3629"/>
      <w:bookmarkStart w:id="51" w:name="_Toc14466"/>
      <w:bookmarkStart w:id="52" w:name="_Toc5601"/>
      <w:bookmarkStart w:id="53" w:name="_Toc15156"/>
      <w:bookmarkStart w:id="54" w:name="_Toc17111"/>
      <w:bookmarkStart w:id="55" w:name="_Toc26934"/>
      <w:bookmarkStart w:id="56" w:name="_Toc22351"/>
      <w:bookmarkStart w:id="57" w:name="_Toc14224"/>
      <w:bookmarkStart w:id="58" w:name="_Toc19974"/>
      <w:r>
        <w:rPr>
          <w:rFonts w:hint="eastAsia" w:ascii="楷体_GB2312" w:hAnsi="楷体_GB2312" w:eastAsia="楷体_GB2312" w:cs="楷体_GB2312"/>
          <w:lang w:eastAsia="zh-CN"/>
        </w:rPr>
        <w:t>（征求意见稿）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/>
        </w:rPr>
        <w:t>2025年8月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</w:rPr>
        <w:br w:type="page"/>
      </w:r>
      <w:r>
        <w:rPr>
          <w:rFonts w:hint="eastAsia" w:ascii="仿宋_GB2312" w:hAnsi="仿宋_GB2312"/>
          <w:b w:val="0"/>
          <w:bCs w:val="0"/>
        </w:rPr>
        <w:t>清单说明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/>
        </w:rPr>
      </w:pPr>
      <w:bookmarkStart w:id="59" w:name="_Toc17214"/>
      <w:r>
        <w:rPr>
          <w:rFonts w:hint="eastAsia"/>
        </w:rPr>
        <w:t>一、本清单“岗位名称”参考企业发布的通用岗位名称及头部企业访谈建议，仅供参考。</w:t>
      </w:r>
    </w:p>
    <w:p>
      <w:pPr>
        <w:bidi w:val="0"/>
        <w:rPr>
          <w:rFonts w:hint="eastAsia"/>
        </w:rPr>
      </w:pPr>
      <w:r>
        <w:rPr>
          <w:rFonts w:hint="eastAsia"/>
        </w:rPr>
        <w:t>二、清单岗位人才画像根据“岗位薪酬”“学习经历”“工作履历”等要素描述。</w:t>
      </w:r>
    </w:p>
    <w:p>
      <w:pPr>
        <w:bidi w:val="0"/>
        <w:rPr>
          <w:rFonts w:hint="eastAsia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。人才画像的鼓励要素旨在鼓励用工企业、人力资源服务机构、高等院校、科研院所等招录、培养、引进具备符合该要素的人才。人才认定具体以“岗位薪酬+学习经历”或“岗位薪酬+工作履历”为判断依据。</w:t>
      </w:r>
    </w:p>
    <w:p>
      <w:pPr>
        <w:bidi w:val="0"/>
        <w:rPr>
          <w:rFonts w:hint="eastAsia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四、“岗位薪酬”包含与入职企业相关的工资、薪金、奖金所得，股权、期权所得及与该岗位相关的其他收入，以在入职企业过去12个月个人所得税纳税清单为认定标准。</w:t>
      </w:r>
    </w:p>
    <w:p>
      <w:pPr>
        <w:bidi w:val="0"/>
        <w:rPr>
          <w:rFonts w:hint="eastAsia"/>
        </w:rPr>
      </w:pPr>
      <w:r>
        <w:rPr>
          <w:rFonts w:hint="eastAsia"/>
        </w:rPr>
        <w:t>五、“学习经历”要求岗位人才符合人才画像确定的学历层次、学科门类（理学、工学、交叉学科等）。</w:t>
      </w:r>
    </w:p>
    <w:p>
      <w:pPr>
        <w:bidi w:val="0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六、“工作履历”要求岗位人才具备人才画像确定的工作年限要求，且具备一定的岗位工作经历要求。</w:t>
      </w:r>
    </w:p>
    <w:p>
      <w:pPr>
        <w:bidi w:val="0"/>
        <w:rPr>
          <w:rFonts w:hint="eastAsia"/>
        </w:rPr>
      </w:pPr>
      <w:r>
        <w:rPr>
          <w:rFonts w:hint="eastAsia"/>
        </w:rPr>
        <w:t>七、人才画像鼓励要素中提及的院校排名与学科排名均以最新排名为准。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br w:type="page"/>
      </w:r>
    </w:p>
    <w:p>
      <w:pPr>
        <w:pStyle w:val="3"/>
        <w:bidi w:val="0"/>
        <w:rPr>
          <w:rFonts w:hint="eastAsia"/>
          <w:b w:val="0"/>
          <w:bCs w:val="0"/>
        </w:rPr>
      </w:pPr>
      <w:bookmarkStart w:id="60" w:name="_Toc17050"/>
      <w:bookmarkStart w:id="61" w:name="_Toc30927"/>
      <w:bookmarkStart w:id="62" w:name="_Toc31939"/>
      <w:bookmarkStart w:id="63" w:name="_Toc4633"/>
      <w:bookmarkStart w:id="64" w:name="_Toc8432"/>
      <w:bookmarkStart w:id="65" w:name="_Toc28937"/>
      <w:bookmarkStart w:id="66" w:name="_Toc20263"/>
      <w:bookmarkStart w:id="67" w:name="_Toc29262"/>
      <w:bookmarkStart w:id="68" w:name="_Toc31219"/>
      <w:bookmarkStart w:id="69" w:name="_Toc28249"/>
      <w:bookmarkStart w:id="70" w:name="_Toc32184"/>
      <w:bookmarkStart w:id="71" w:name="_Toc204"/>
      <w:bookmarkStart w:id="72" w:name="_Toc13282"/>
      <w:r>
        <w:rPr>
          <w:rFonts w:hint="eastAsia"/>
          <w:b w:val="0"/>
          <w:bCs w:val="0"/>
        </w:rPr>
        <w:t>目录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bookmarkEnd w:id="59"/>
    <w:sdt>
      <w:sdtPr>
        <w:rPr>
          <w:rFonts w:ascii="宋体" w:hAnsi="宋体" w:eastAsia="宋体" w:cs="仿宋_GB2312"/>
          <w:kern w:val="2"/>
          <w:sz w:val="21"/>
          <w:szCs w:val="24"/>
          <w:lang w:val="en-US" w:eastAsia="zh-CN" w:bidi="ar-SA"/>
        </w:rPr>
        <w:id w:val="14747513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仿宋_GB2312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ind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五星岗位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  <w:rPr>
              <w:rFonts w:hint="eastAsia" w:ascii="楷体" w:hAnsi="楷体" w:eastAsia="楷体" w:cs="楷体"/>
              <w:lang w:val="en-US" w:eastAsia="zh-CN"/>
            </w:rPr>
          </w:pPr>
        </w:p>
        <w:p>
          <w:pPr>
            <w:pStyle w:val="10"/>
            <w:tabs>
              <w:tab w:val="right" w:leader="dot" w:pos="8306"/>
            </w:tabs>
            <w:bidi w:val="0"/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rPr>
              <w:rFonts w:ascii="仿宋_GB2312" w:hAnsi="仿宋_GB2312" w:eastAsia="仿宋_GB2312" w:cs="仿宋_GB2312"/>
              <w:kern w:val="2"/>
              <w:sz w:val="32"/>
              <w:szCs w:val="24"/>
              <w:lang w:val="en-US" w:eastAsia="zh-CN" w:bidi="ar-SA"/>
            </w:rPr>
          </w:pPr>
          <w:r>
            <w:rPr>
              <w:rFonts w:hint="eastAsia" w:ascii="楷体" w:hAnsi="楷体" w:eastAsia="楷体" w:cs="楷体"/>
              <w:lang w:val="en-US" w:eastAsia="zh-CN"/>
            </w:rPr>
            <w:t>【研发管理类】</w:t>
          </w: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_Toc14386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1.超高清视频显示研发总监</w:t>
          </w:r>
          <w:r>
            <w:tab/>
          </w:r>
          <w:r>
            <w:fldChar w:fldCharType="begin"/>
          </w:r>
          <w:r>
            <w:instrText xml:space="preserve"> PAGEREF _Toc14386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_Toc30499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2.超高清视频显示技术项目总监</w:t>
          </w:r>
          <w:r>
            <w:tab/>
          </w:r>
          <w:r>
            <w:fldChar w:fldCharType="begin"/>
          </w:r>
          <w:r>
            <w:instrText xml:space="preserve"> PAGEREF _Toc30499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【产品开发类】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_Toc15592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</w:t>
          </w:r>
          <w:r>
            <w:rPr>
              <w:rFonts w:hint="eastAsia"/>
            </w:rPr>
            <w:t>OLED</w:t>
          </w:r>
          <w:r>
            <w:rPr>
              <w:rFonts w:hint="eastAsia"/>
              <w:lang w:eastAsia="zh-CN"/>
            </w:rPr>
            <w:t>技术开发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_Toc15592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_Toc25999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4.超高清视频显示FPGA专家</w:t>
          </w:r>
          <w:r>
            <w:tab/>
          </w:r>
          <w:r>
            <w:fldChar w:fldCharType="begin"/>
          </w:r>
          <w:r>
            <w:instrText xml:space="preserve"> PAGEREF _Toc25999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_Toc5923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5.超高清视频显示电源系统架构师</w:t>
          </w:r>
          <w:r>
            <w:tab/>
          </w:r>
          <w:r>
            <w:fldChar w:fldCharType="begin"/>
          </w:r>
          <w:r>
            <w:instrText xml:space="preserve"> PAGEREF _Toc5923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_Toc29564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6.光机设计专家</w:t>
          </w:r>
          <w:r>
            <w:tab/>
          </w:r>
          <w:r>
            <w:fldChar w:fldCharType="begin"/>
          </w:r>
          <w:r>
            <w:instrText xml:space="preserve"> PAGEREF _Toc29564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_Toc28708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7.光学镜头设计专家</w:t>
          </w:r>
          <w:r>
            <w:tab/>
          </w:r>
          <w:r>
            <w:fldChar w:fldCharType="begin"/>
          </w:r>
          <w:r>
            <w:instrText xml:space="preserve"> PAGEREF _Toc28708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_Toc22084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8.显示模组专家</w:t>
          </w:r>
          <w:r>
            <w:tab/>
          </w:r>
          <w:r>
            <w:fldChar w:fldCharType="begin"/>
          </w:r>
          <w:r>
            <w:instrText xml:space="preserve"> PAGEREF _Toc22084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_Toc7179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9.超高清视频显示AI算法专家</w:t>
          </w:r>
          <w:r>
            <w:tab/>
          </w:r>
          <w:r>
            <w:fldChar w:fldCharType="begin"/>
          </w:r>
          <w:r>
            <w:instrText xml:space="preserve"> PAGEREF _Toc7179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_Toc31986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10.超高清视频显示触控算法专家</w:t>
          </w:r>
          <w:r>
            <w:tab/>
          </w:r>
          <w:r>
            <w:fldChar w:fldCharType="begin"/>
          </w:r>
          <w:r>
            <w:instrText xml:space="preserve"> PAGEREF _Toc31986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_Toc13177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11.超高清视频显示多模态算法专家</w:t>
          </w:r>
          <w:r>
            <w:tab/>
          </w:r>
          <w:r>
            <w:fldChar w:fldCharType="begin"/>
          </w:r>
          <w:r>
            <w:instrText xml:space="preserve"> PAGEREF _Toc13177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_Toc29785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12.音视频编解码专家</w:t>
          </w:r>
          <w:r>
            <w:tab/>
          </w:r>
          <w:r>
            <w:fldChar w:fldCharType="begin"/>
          </w:r>
          <w:r>
            <w:instrText xml:space="preserve"> PAGEREF _Toc29785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_Toc29642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13.显示产品AI架构师</w:t>
          </w:r>
          <w:r>
            <w:tab/>
          </w:r>
          <w:r>
            <w:fldChar w:fldCharType="begin"/>
          </w:r>
          <w:r>
            <w:instrText xml:space="preserve"> PAGEREF _Toc29642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_Toc8439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14.</w:t>
          </w:r>
          <w:r>
            <w:rPr>
              <w:rFonts w:hint="default"/>
            </w:rPr>
            <w:t>显示</w:t>
          </w:r>
          <w:r>
            <w:rPr>
              <w:rFonts w:hint="eastAsia"/>
              <w:lang w:eastAsia="zh-CN"/>
            </w:rPr>
            <w:t>驱动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_Toc8439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15.显示产品软件架构师</w:t>
          </w:r>
          <w:r>
            <w:tab/>
          </w:r>
          <w:r>
            <w:fldChar w:fldCharType="begin"/>
          </w:r>
          <w:r>
            <w:instrText xml:space="preserve"> PAGEREF _Toc487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_Toc9444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16.</w:t>
          </w:r>
          <w:r>
            <w:rPr>
              <w:rFonts w:hint="eastAsia"/>
              <w:lang w:eastAsia="zh-CN"/>
            </w:rPr>
            <w:t>量子点技术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_Toc9444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【生产制造类】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_Toc11505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17.COB技术专家</w:t>
          </w:r>
          <w:r>
            <w:tab/>
          </w:r>
          <w:r>
            <w:fldChar w:fldCharType="begin"/>
          </w:r>
          <w:r>
            <w:instrText xml:space="preserve"> PAGEREF _Toc11505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【市场营销类】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_Toc14951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18.超高清视频显示营销总监</w:t>
          </w:r>
          <w:r>
            <w:tab/>
          </w:r>
          <w:r>
            <w:fldChar w:fldCharType="begin"/>
          </w:r>
          <w:r>
            <w:instrText xml:space="preserve"> PAGEREF _Toc14951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_Toc30495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19.超高清视频显示海外销售总监</w:t>
          </w:r>
          <w:r>
            <w:tab/>
          </w:r>
          <w:r>
            <w:fldChar w:fldCharType="begin"/>
          </w:r>
          <w:r>
            <w:instrText xml:space="preserve"> PAGEREF _Toc30495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【其他职能类】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_Toc20442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20.超高清视频显示技术认证专家</w:t>
          </w:r>
          <w:r>
            <w:tab/>
          </w:r>
          <w:r>
            <w:fldChar w:fldCharType="begin"/>
          </w:r>
          <w:r>
            <w:instrText xml:space="preserve"> PAGEREF _Toc20442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  <w:rPr>
              <w:rFonts w:ascii="宋体" w:hAnsi="宋体" w:eastAsia="宋体" w:cs="仿宋_GB2312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ind w:firstLine="0" w:firstLineChars="0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  <w:lang w:eastAsia="zh-CN"/>
            </w:rPr>
            <w:t>四</w:t>
          </w:r>
          <w:r>
            <w:rPr>
              <w:rFonts w:hint="eastAsia" w:ascii="黑体" w:hAnsi="黑体" w:eastAsia="黑体" w:cs="黑体"/>
              <w:sz w:val="36"/>
              <w:szCs w:val="36"/>
            </w:rPr>
            <w:t>星岗位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  <w:rPr>
              <w:rFonts w:hint="eastAsia" w:ascii="楷体" w:hAnsi="楷体" w:eastAsia="楷体" w:cs="楷体"/>
              <w:lang w:val="en-US" w:eastAsia="zh-CN"/>
            </w:rPr>
          </w:pP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【研发管理类】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_Toc7793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21.</w:t>
          </w:r>
          <w:r>
            <w:rPr>
              <w:rFonts w:hint="eastAsia"/>
              <w:lang w:eastAsia="zh-CN"/>
            </w:rPr>
            <w:t>超高清视频显示技术项目经理</w:t>
          </w:r>
          <w:r>
            <w:tab/>
          </w:r>
          <w:r>
            <w:fldChar w:fldCharType="begin"/>
          </w:r>
          <w:r>
            <w:instrText xml:space="preserve"> PAGEREF _Toc7793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【技术研究类】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_Toc22534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22.新型显示技术研究专家</w:t>
          </w:r>
          <w:r>
            <w:tab/>
          </w:r>
          <w:r>
            <w:fldChar w:fldCharType="begin"/>
          </w:r>
          <w:r>
            <w:instrText xml:space="preserve"> PAGEREF _Toc22534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_Toc27696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23.超高清视频显示AI应用研究专家</w:t>
          </w:r>
          <w:r>
            <w:tab/>
          </w:r>
          <w:r>
            <w:fldChar w:fldCharType="begin"/>
          </w:r>
          <w:r>
            <w:instrText xml:space="preserve"> PAGEREF _Toc27696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_Toc6693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24.新型显示材料研究专家</w:t>
          </w:r>
          <w:r>
            <w:tab/>
          </w:r>
          <w:r>
            <w:fldChar w:fldCharType="begin"/>
          </w:r>
          <w:r>
            <w:instrText xml:space="preserve"> PAGEREF _Toc6693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【产品规划类】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_Toc26409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25.显示产品经理</w:t>
          </w:r>
          <w:r>
            <w:tab/>
          </w:r>
          <w:r>
            <w:fldChar w:fldCharType="begin"/>
          </w:r>
          <w:r>
            <w:instrText xml:space="preserve"> PAGEREF _Toc26409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【产品开发类】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_Toc18274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26.</w:t>
          </w:r>
          <w:r>
            <w:rPr>
              <w:rFonts w:hint="eastAsia"/>
              <w:lang w:eastAsia="zh-CN"/>
            </w:rPr>
            <w:t>显示产品开发专家</w:t>
          </w:r>
          <w:r>
            <w:tab/>
          </w:r>
          <w:r>
            <w:fldChar w:fldCharType="begin"/>
          </w:r>
          <w:r>
            <w:instrText xml:space="preserve"> PAGEREF _Toc18274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_Toc1527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27.</w:t>
          </w:r>
          <w:r>
            <w:rPr>
              <w:rFonts w:hint="eastAsia"/>
              <w:lang w:eastAsia="zh-CN"/>
            </w:rPr>
            <w:t>显示芯片设计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_Toc1527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_Toc2025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28.</w:t>
          </w:r>
          <w:r>
            <w:t>MEMS</w:t>
          </w:r>
          <w:r>
            <w:rPr>
              <w:rFonts w:hint="eastAsia"/>
              <w:lang w:eastAsia="zh-CN"/>
            </w:rPr>
            <w:t>设计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_Toc2025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_Toc30387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29.超高清视频显示硬件专家</w:t>
          </w:r>
          <w:r>
            <w:tab/>
          </w:r>
          <w:r>
            <w:fldChar w:fldCharType="begin"/>
          </w:r>
          <w:r>
            <w:instrText xml:space="preserve"> PAGEREF _Toc30387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_Toc866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30.TFT器件专家</w:t>
          </w:r>
          <w:r>
            <w:tab/>
          </w:r>
          <w:r>
            <w:fldChar w:fldCharType="begin"/>
          </w:r>
          <w:r>
            <w:instrText xml:space="preserve"> PAGEREF _Toc866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_Toc27997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31.Mini背光专家</w:t>
          </w:r>
          <w:r>
            <w:tab/>
          </w:r>
          <w:r>
            <w:fldChar w:fldCharType="begin"/>
          </w:r>
          <w:r>
            <w:instrText xml:space="preserve"> PAGEREF _Toc27997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_Toc28098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32.阵列设计专家</w:t>
          </w:r>
          <w:r>
            <w:tab/>
          </w:r>
          <w:r>
            <w:fldChar w:fldCharType="begin"/>
          </w:r>
          <w:r>
            <w:instrText xml:space="preserve"> PAGEREF _Toc28098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_Toc9795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33.</w:t>
          </w:r>
          <w:r>
            <w:t>裸眼</w:t>
          </w:r>
          <w:r>
            <w:rPr>
              <w:rFonts w:hint="eastAsia"/>
              <w:lang w:val="en-US" w:eastAsia="zh-CN"/>
            </w:rPr>
            <w:t>3D显示光学设计专家</w:t>
          </w:r>
          <w:r>
            <w:tab/>
          </w:r>
          <w:r>
            <w:fldChar w:fldCharType="begin"/>
          </w:r>
          <w:r>
            <w:instrText xml:space="preserve"> PAGEREF _Toc9795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_Toc12704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34.</w:t>
          </w:r>
          <w:r>
            <w:rPr>
              <w:rFonts w:hint="eastAsia"/>
              <w:lang w:eastAsia="zh-CN"/>
            </w:rPr>
            <w:t>电子墨水研发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_Toc12704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35.超高清视频显示声学专家</w:t>
          </w:r>
          <w:r>
            <w:tab/>
          </w:r>
          <w:r>
            <w:fldChar w:fldCharType="begin"/>
          </w:r>
          <w:r>
            <w:instrText xml:space="preserve"> PAGEREF _Toc2839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_Toc5548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36.超高清视频显示散热专家</w:t>
          </w:r>
          <w:r>
            <w:tab/>
          </w:r>
          <w:r>
            <w:fldChar w:fldCharType="begin"/>
          </w:r>
          <w:r>
            <w:instrText xml:space="preserve"> PAGEREF _Toc5548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_Toc31734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37.</w:t>
          </w:r>
          <w:r>
            <w:rPr>
              <w:rFonts w:hint="eastAsia"/>
              <w:lang w:eastAsia="zh-CN"/>
            </w:rPr>
            <w:t>显示护眼技术专家</w:t>
          </w:r>
          <w:r>
            <w:tab/>
          </w:r>
          <w:r>
            <w:fldChar w:fldCharType="begin"/>
          </w:r>
          <w:r>
            <w:instrText xml:space="preserve"> PAGEREF _Toc31734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_Toc1447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38.超高清视频显示电子元器件专家</w:t>
          </w:r>
          <w:r>
            <w:tab/>
          </w:r>
          <w:r>
            <w:fldChar w:fldCharType="begin"/>
          </w:r>
          <w:r>
            <w:instrText xml:space="preserve"> PAGEREF _Toc1447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_Toc5976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39.</w:t>
          </w:r>
          <w:r>
            <w:rPr>
              <w:rFonts w:hint="default"/>
            </w:rPr>
            <w:t>显示</w:t>
          </w:r>
          <w:r>
            <w:rPr>
              <w:rFonts w:hint="eastAsia"/>
              <w:lang w:val="en-US" w:eastAsia="zh-CN"/>
            </w:rPr>
            <w:t>产品结构专家</w:t>
          </w:r>
          <w:r>
            <w:tab/>
          </w:r>
          <w:r>
            <w:fldChar w:fldCharType="begin"/>
          </w:r>
          <w:r>
            <w:instrText xml:space="preserve"> PAGEREF _Toc5976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_Toc26790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40.音频算法专家</w:t>
          </w:r>
          <w:r>
            <w:tab/>
          </w:r>
          <w:r>
            <w:fldChar w:fldCharType="begin"/>
          </w:r>
          <w:r>
            <w:instrText xml:space="preserve"> PAGEREF _Toc26790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_Toc27018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41.视频算法专家</w:t>
          </w:r>
          <w:r>
            <w:tab/>
          </w:r>
          <w:r>
            <w:fldChar w:fldCharType="begin"/>
          </w:r>
          <w:r>
            <w:instrText xml:space="preserve"> PAGEREF _Toc27018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_Toc12456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42.图像算法专家</w:t>
          </w:r>
          <w:r>
            <w:tab/>
          </w:r>
          <w:r>
            <w:fldChar w:fldCharType="begin"/>
          </w:r>
          <w:r>
            <w:instrText xml:space="preserve"> PAGEREF _Toc12456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_Toc17757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43.</w:t>
          </w:r>
          <w:r>
            <w:rPr>
              <w:rFonts w:hint="eastAsia"/>
              <w:lang w:eastAsia="zh-CN"/>
            </w:rPr>
            <w:t>显示效果</w:t>
          </w:r>
          <w:r>
            <w:t>专家</w:t>
          </w:r>
          <w:r>
            <w:tab/>
          </w:r>
          <w:r>
            <w:fldChar w:fldCharType="begin"/>
          </w:r>
          <w:r>
            <w:instrText xml:space="preserve"> PAGEREF _Toc17757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_Toc12995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44.流媒体开发专家</w:t>
          </w:r>
          <w:r>
            <w:tab/>
          </w:r>
          <w:r>
            <w:fldChar w:fldCharType="begin"/>
          </w:r>
          <w:r>
            <w:instrText xml:space="preserve"> PAGEREF _Toc12995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_Toc27381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45.超高清视频显示渲染开发专家</w:t>
          </w:r>
          <w:r>
            <w:tab/>
          </w:r>
          <w:r>
            <w:fldChar w:fldCharType="begin"/>
          </w:r>
          <w:r>
            <w:instrText xml:space="preserve"> PAGEREF _Toc27381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_Toc30817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46.音视频解决方案架构师</w:t>
          </w:r>
          <w:r>
            <w:tab/>
          </w:r>
          <w:r>
            <w:fldChar w:fldCharType="begin"/>
          </w:r>
          <w:r>
            <w:instrText xml:space="preserve"> PAGEREF _Toc30817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_Toc18561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47.</w:t>
          </w:r>
          <w:r>
            <w:t>显示控制系统专家</w:t>
          </w:r>
          <w:r>
            <w:tab/>
          </w:r>
          <w:r>
            <w:fldChar w:fldCharType="begin"/>
          </w:r>
          <w:r>
            <w:instrText xml:space="preserve"> PAGEREF _Toc18561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_Toc24484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48.视频云平台架构师</w:t>
          </w:r>
          <w:r>
            <w:tab/>
          </w:r>
          <w:r>
            <w:fldChar w:fldCharType="begin"/>
          </w:r>
          <w:r>
            <w:instrText xml:space="preserve"> PAGEREF _Toc24484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_Toc29093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49</w:t>
          </w:r>
          <w:r>
            <w:rPr>
              <w:rFonts w:hint="eastAsia"/>
            </w:rPr>
            <w:t>.</w:t>
          </w:r>
          <w:r>
            <w:rPr>
              <w:rFonts w:hint="eastAsia"/>
              <w:lang w:eastAsia="zh-CN"/>
            </w:rPr>
            <w:t>超高清视频显示</w:t>
          </w:r>
          <w:r>
            <w:rPr>
              <w:rFonts w:hint="eastAsia"/>
              <w:lang w:val="en-US" w:eastAsia="zh-CN"/>
            </w:rPr>
            <w:t>AI应用</w:t>
          </w:r>
          <w:r>
            <w:rPr>
              <w:rFonts w:hint="eastAsia"/>
              <w:lang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_Toc29093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_Toc11162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50.超高清视频显示仿真专家</w:t>
          </w:r>
          <w:r>
            <w:tab/>
          </w:r>
          <w:r>
            <w:fldChar w:fldCharType="begin"/>
          </w:r>
          <w:r>
            <w:instrText xml:space="preserve"> PAGEREF _Toc11162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_Toc2880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51.超高清视频显示元器件可靠性专家</w:t>
          </w:r>
          <w:r>
            <w:tab/>
          </w:r>
          <w:r>
            <w:fldChar w:fldCharType="begin"/>
          </w:r>
          <w:r>
            <w:instrText xml:space="preserve"> PAGEREF _Toc2880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_Toc27500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52.光学材料研发专家</w:t>
          </w:r>
          <w:r>
            <w:tab/>
          </w:r>
          <w:r>
            <w:fldChar w:fldCharType="begin"/>
          </w:r>
          <w:r>
            <w:instrText xml:space="preserve"> PAGEREF _Toc27500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【生产制造类】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_Toc5759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53.超高清视频显示工艺专家</w:t>
          </w:r>
          <w:r>
            <w:tab/>
          </w:r>
          <w:r>
            <w:fldChar w:fldCharType="begin"/>
          </w:r>
          <w:r>
            <w:instrText xml:space="preserve"> PAGEREF _Toc5759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_Toc6062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54.光学镀膜工艺专家</w:t>
          </w:r>
          <w:r>
            <w:tab/>
          </w:r>
          <w:r>
            <w:fldChar w:fldCharType="begin"/>
          </w:r>
          <w:r>
            <w:instrText xml:space="preserve"> PAGEREF _Toc6062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_Toc7509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55.</w:t>
          </w:r>
          <w:r>
            <w:rPr>
              <w:rFonts w:hint="eastAsia"/>
              <w:lang w:eastAsia="zh-CN"/>
            </w:rPr>
            <w:t>显示芯片</w:t>
          </w:r>
          <w:r>
            <w:t>工艺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_Toc7509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_Toc32629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56.</w:t>
          </w:r>
          <w:r>
            <w:t>MEMS工艺</w:t>
          </w:r>
          <w:r>
            <w:rPr>
              <w:rFonts w:hint="eastAsia"/>
              <w:lang w:val="en-US" w:eastAsia="zh-CN"/>
            </w:rPr>
            <w:t>专家</w:t>
          </w:r>
          <w:r>
            <w:tab/>
          </w:r>
          <w:r>
            <w:fldChar w:fldCharType="begin"/>
          </w:r>
          <w:r>
            <w:instrText xml:space="preserve"> PAGEREF _Toc32629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_Toc5065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57.超高清视频显示NPI专家</w:t>
          </w:r>
          <w:r>
            <w:tab/>
          </w:r>
          <w:r>
            <w:fldChar w:fldCharType="begin"/>
          </w:r>
          <w:r>
            <w:instrText xml:space="preserve"> PAGEREF _Toc5065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_Toc10978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58.超高清视频显示精益生产专家</w:t>
          </w:r>
          <w:r>
            <w:tab/>
          </w:r>
          <w:r>
            <w:fldChar w:fldCharType="begin"/>
          </w:r>
          <w:r>
            <w:instrText xml:space="preserve"> PAGEREF _Toc10978 \h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_Toc7366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59.自动化产线技术专家</w:t>
          </w:r>
          <w:r>
            <w:tab/>
          </w:r>
          <w:r>
            <w:fldChar w:fldCharType="begin"/>
          </w:r>
          <w:r>
            <w:instrText xml:space="preserve"> PAGEREF _Toc7366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_Toc18242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60.超高清视频显示质量总监</w:t>
          </w:r>
          <w:r>
            <w:tab/>
          </w:r>
          <w:r>
            <w:fldChar w:fldCharType="begin"/>
          </w:r>
          <w:r>
            <w:instrText xml:space="preserve"> PAGEREF _Toc18242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_Toc5704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61.显示芯片采购专家</w:t>
          </w:r>
          <w:r>
            <w:tab/>
          </w:r>
          <w:r>
            <w:fldChar w:fldCharType="begin"/>
          </w:r>
          <w:r>
            <w:instrText xml:space="preserve"> PAGEREF _Toc5704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rFonts w:hint="eastAsia" w:ascii="楷体" w:hAnsi="楷体" w:eastAsia="楷体" w:cs="楷体"/>
              <w:lang w:val="en-US" w:eastAsia="zh-CN"/>
            </w:rPr>
            <w:t>【市场营销类】</w:t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_Toc4341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62.超高清视频显示国内销售总监</w:t>
          </w:r>
          <w:r>
            <w:tab/>
          </w:r>
          <w:r>
            <w:fldChar w:fldCharType="begin"/>
          </w:r>
          <w:r>
            <w:instrText xml:space="preserve"> PAGEREF _Toc4341 \h </w:instrText>
          </w:r>
          <w:r>
            <w:fldChar w:fldCharType="separate"/>
          </w:r>
          <w:r>
            <w:t>62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_Toc12320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63.超高清视频显示销售技术专家</w:t>
          </w:r>
          <w:r>
            <w:tab/>
          </w:r>
          <w:r>
            <w:fldChar w:fldCharType="begin"/>
          </w:r>
          <w:r>
            <w:instrText xml:space="preserve"> PAGEREF _Toc12320 \h </w:instrText>
          </w:r>
          <w:r>
            <w:fldChar w:fldCharType="separate"/>
          </w:r>
          <w:r>
            <w:t>63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fldChar w:fldCharType="begin"/>
          </w:r>
          <w:r>
            <w:instrText xml:space="preserve"> HYPERLINK \l _Toc4533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64.超高清视频显示技术支持专家</w:t>
          </w:r>
          <w:r>
            <w:tab/>
          </w:r>
          <w:r>
            <w:fldChar w:fldCharType="begin"/>
          </w:r>
          <w:r>
            <w:instrText xml:space="preserve"> PAGEREF _Toc4533 \h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  <w:bidi w:val="0"/>
            <w:spacing w:before="0" w:beforeLines="0" w:after="0" w:afterLines="0" w:line="240" w:lineRule="auto"/>
            <w:ind w:left="0" w:leftChars="0" w:right="0" w:rightChars="0" w:firstLine="0" w:firstLineChars="0"/>
            <w:jc w:val="left"/>
          </w:pPr>
          <w:r>
            <w:fldChar w:fldCharType="end"/>
          </w:r>
        </w:p>
      </w:sdtContent>
    </w:sdt>
    <w:p>
      <w:pPr>
        <w:pStyle w:val="4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eastAsia"/>
        </w:rPr>
      </w:pPr>
      <w:bookmarkStart w:id="73" w:name="_Toc25312"/>
      <w:bookmarkStart w:id="74" w:name="_Toc30353"/>
      <w:bookmarkStart w:id="75" w:name="_Toc3349"/>
      <w:bookmarkStart w:id="76" w:name="_Toc29589"/>
      <w:bookmarkStart w:id="77" w:name="_Toc11502"/>
      <w:bookmarkStart w:id="78" w:name="_Toc14386"/>
      <w:r>
        <w:rPr>
          <w:rFonts w:hint="eastAsia"/>
          <w:lang w:val="en-US" w:eastAsia="zh-CN"/>
        </w:rPr>
        <w:t>1.超高清视频显示研发总监</w:t>
      </w:r>
      <w:r>
        <w:rPr>
          <w:rFonts w:hint="eastAsia"/>
        </w:rPr>
        <w:t>——五星</w:t>
      </w:r>
      <w:bookmarkEnd w:id="73"/>
      <w:bookmarkEnd w:id="74"/>
      <w:bookmarkEnd w:id="75"/>
      <w:bookmarkEnd w:id="76"/>
      <w:bookmarkEnd w:id="77"/>
      <w:bookmarkEnd w:id="78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深入研究超高清视频显示产业技术走向，结合公司发展蓝图，制定长期技术战略，明确研发重点与方向；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组建、培训并管理研发团队，提升团队整体技术实力，营造良好研发氛围，保障团队高效运作；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主导超高清视频显示产品从概念设计到量产的全流程研发工作，运用专业技术把控产品质量与性能；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针对研发中复杂技术问题提供创新解决方案；</w:t>
            </w:r>
          </w:p>
          <w:p>
            <w:pPr>
              <w:pStyle w:val="16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关注行业前沿技术，积极开展对外技术合作交流，推动公司研发创新。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80万元及以上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电子科学与技术类、计算机技术、光学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10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精通超高清视频编解码技术，熟悉主流标准，可进行算法改进与定制；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深入掌握显示技术，熟悉其驱动原理与电路设计，指导硬件研发；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具备扎实的图像处理算法知识，熟悉超高清视频显示系统架构，保障系统稳定高效运行；</w:t>
            </w:r>
          </w:p>
          <w:p>
            <w:pPr>
              <w:pStyle w:val="16"/>
              <w:numPr>
                <w:ilvl w:val="0"/>
                <w:numId w:val="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79" w:name="_Toc14580"/>
      <w:bookmarkStart w:id="80" w:name="_Toc30499"/>
      <w:bookmarkStart w:id="81" w:name="_Toc19996"/>
      <w:bookmarkStart w:id="82" w:name="_Toc18798"/>
      <w:bookmarkStart w:id="83" w:name="_Toc29407"/>
      <w:bookmarkStart w:id="84" w:name="_Toc11014"/>
      <w:r>
        <w:rPr>
          <w:rFonts w:hint="eastAsia"/>
          <w:lang w:val="en-US" w:eastAsia="zh-CN"/>
        </w:rPr>
        <w:t>2.超高清视频显示技术项目总监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79"/>
      <w:bookmarkEnd w:id="80"/>
      <w:bookmarkEnd w:id="81"/>
      <w:bookmarkEnd w:id="82"/>
      <w:bookmarkEnd w:id="8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超高清视频显示技术项目总监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负责超高清视频显示技术项目的整体规划、资源协调及落地实施，制定技术路线图与项目里程碑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牵头分析行业需求与客户痛点，制定产品化技术方案，推动技术成果转化为商业化落地项目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统筹跨部门协作，协调解决项目中的技术难点、进度冲突及资源调配问题，确保项目按计划交付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跟踪超高清显示技术前沿动态，主导关键技术研发项目，提升企业竞争力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负责项目风险管理与成本控制，建立技术研发与项目实施的质量管控体系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"/>
              </w:numPr>
              <w:ind w:left="425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组织撰写项目技术报告、专利申报及行业标准文件，推动企业在超高清显示领域的知识产权布局与技术标准化建设。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 w:ascii="仿宋_GB2312"/>
              </w:rPr>
              <w:t>电子信息工程、光电信息科学与工程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10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主导过4K/8K显示产品或新型显示技术落地项目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精通超高清显示核心技术，熟悉显示器件制备工艺及整机集成方案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持有项目管理专业认证，熟练使用项目管理工具，具备复杂技术项目全流程管控能力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具有敏锐的技术洞察力与市场判断力，能结合行业趋势提出前瞻性技术研发方向，推动技术创新与产品迭代；</w:t>
            </w:r>
          </w:p>
          <w:p>
            <w:pPr>
              <w:pStyle w:val="16"/>
              <w:numPr>
                <w:ilvl w:val="0"/>
                <w:numId w:val="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bookmarkEnd w:id="84"/>
    <w:p>
      <w:pPr>
        <w:pStyle w:val="4"/>
        <w:bidi w:val="0"/>
        <w:rPr>
          <w:rFonts w:hint="eastAsia"/>
        </w:rPr>
      </w:pPr>
      <w:bookmarkStart w:id="85" w:name="_Toc30681"/>
      <w:bookmarkStart w:id="86" w:name="_Toc30814"/>
      <w:bookmarkStart w:id="87" w:name="_Toc32048"/>
      <w:bookmarkStart w:id="88" w:name="_Toc15592"/>
      <w:bookmarkStart w:id="89" w:name="_Toc4536"/>
      <w:bookmarkStart w:id="90" w:name="_Toc16076"/>
      <w:bookmarkStart w:id="91" w:name="_Toc26047"/>
      <w:bookmarkStart w:id="92" w:name="_Toc31356"/>
      <w:bookmarkStart w:id="93" w:name="_Toc1115"/>
      <w:r>
        <w:rPr>
          <w:rFonts w:hint="eastAsia"/>
          <w:lang w:val="en-US" w:eastAsia="zh-CN"/>
        </w:rPr>
        <w:t>3.</w:t>
      </w:r>
      <w:r>
        <w:rPr>
          <w:rFonts w:hint="eastAsia"/>
        </w:rPr>
        <w:t>OLED</w:t>
      </w:r>
      <w:r>
        <w:rPr>
          <w:rFonts w:hint="eastAsia"/>
          <w:lang w:eastAsia="zh-CN"/>
        </w:rPr>
        <w:t>技术开发</w:t>
      </w:r>
      <w: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85"/>
      <w:bookmarkEnd w:id="86"/>
      <w:bookmarkEnd w:id="87"/>
      <w:bookmarkEnd w:id="88"/>
      <w:bookmarkEnd w:id="89"/>
      <w:bookmarkEnd w:id="9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OLED</w:t>
            </w:r>
            <w:r>
              <w:rPr>
                <w:rFonts w:hint="eastAsia"/>
                <w:lang w:eastAsia="zh-CN"/>
              </w:rPr>
              <w:t>技术开发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t>负责OLED显示面板技术研发与优化；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t>主导OLED材料体系设计、蒸镀工艺改进及薄膜封装方案开发；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优化OLED显示器件的结构与工艺，提升显示性能与寿命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解决研发过程中的技术难题，确保项目按时按质完成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跟踪OLED技术的最新动态，引入并应用新技术，保持公司技术的领先性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与市场、生产等部门紧密合作，推动研发成果的商业化应用；</w:t>
            </w:r>
          </w:p>
          <w:p>
            <w:pPr>
              <w:pStyle w:val="16"/>
              <w:numPr>
                <w:ilvl w:val="0"/>
                <w:numId w:val="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构建OLED器件仿真平台，主导专利布局与技术路线规划，维护技术壁垒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材料科学与工程类、物理电子学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"/>
              </w:numPr>
              <w:bidi w:val="0"/>
              <w:ind w:left="425" w:leftChars="0" w:firstLineChars="0"/>
            </w:pPr>
            <w:r>
              <w:rPr>
                <w:lang w:val="en-US" w:eastAsia="zh-CN"/>
              </w:rPr>
              <w:t>熟悉OLED的制造工艺与器件原理，具备成功的项目研发经验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  <w:ind w:left="425" w:leftChars="0" w:firstLineChars="0"/>
            </w:pPr>
            <w:r>
              <w:t>精通OLED器件设计与性能优化方法，熟练运用相关设计软件与分析工具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94" w:name="_Toc12053"/>
      <w:bookmarkStart w:id="95" w:name="_Toc25999"/>
      <w:bookmarkStart w:id="96" w:name="_Toc25069"/>
      <w:bookmarkStart w:id="97" w:name="_Toc25567"/>
      <w:bookmarkStart w:id="98" w:name="_Toc4951"/>
      <w:bookmarkStart w:id="99" w:name="_Toc20976"/>
      <w:r>
        <w:rPr>
          <w:rFonts w:hint="eastAsia"/>
          <w:lang w:val="en-US" w:eastAsia="zh-CN"/>
        </w:rPr>
        <w:t>4.超高清视频显示FPGA专家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4"/>
      <w:bookmarkEnd w:id="95"/>
      <w:bookmarkEnd w:id="96"/>
      <w:bookmarkEnd w:id="97"/>
      <w:bookmarkEnd w:id="98"/>
      <w:bookmarkEnd w:id="9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超高清视频显示FPGA专家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负责超高清视频显示系统的FPGA架构设计，主导视频处理算法的硬件加速实现；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开发高速视频接口的FPGA逻辑；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优化FPGA资源利用率，平衡功耗与性能，完成时序约束与信号完整性分析；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协同芯片团队完成FPGA原型验证，支持ASIC移植，推动显示系统的量产落地；</w:t>
            </w:r>
          </w:p>
          <w:p>
            <w:pPr>
              <w:pStyle w:val="16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跟踪FPGA与视频技术趋势，主导前沿技术预研与IP核开发。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电子信息工程、计算机科学与技术、自动化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精通Verilog/VHDL，熟悉FPGA器件及开发工具链；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深入理解视频处理流程，具备高速并行数据处理经验；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主导过至少2款显示相关FPGA产品开发，熟悉VESA标准、EDID解析及HDCP加密流程；</w:t>
            </w:r>
          </w:p>
          <w:p>
            <w:pPr>
              <w:pStyle w:val="16"/>
              <w:numPr>
                <w:ilvl w:val="0"/>
                <w:numId w:val="8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pStyle w:val="4"/>
        <w:bidi w:val="0"/>
        <w:rPr>
          <w:rFonts w:hint="eastAsia"/>
        </w:rPr>
      </w:pPr>
      <w:bookmarkStart w:id="100" w:name="_Toc5923"/>
      <w:bookmarkStart w:id="101" w:name="_Toc16126"/>
      <w:bookmarkStart w:id="102" w:name="_Toc27765"/>
      <w:bookmarkStart w:id="103" w:name="_Toc29050"/>
      <w:r>
        <w:rPr>
          <w:rFonts w:hint="eastAsia"/>
          <w:lang w:val="en-US" w:eastAsia="zh-CN"/>
        </w:rPr>
        <w:t>5.超高清视频显示电源系统架构师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1"/>
      <w:bookmarkEnd w:id="100"/>
      <w:bookmarkEnd w:id="101"/>
      <w:bookmarkEnd w:id="102"/>
      <w:bookmarkEnd w:id="10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超高清视频显示</w:t>
            </w:r>
            <w:r>
              <w:rPr>
                <w:rFonts w:hint="eastAsia"/>
              </w:rPr>
              <w:t>电源系统架构师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主导超高清显示设备的电源系统架构设计，制定高功率密度、高可靠性的电源方案，满足高分辨率、高刷新率场景下的能效需求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设计电源拓扑结构，优化动态响应、电磁兼容性及热管理方案，确保电源系统在复杂环境下的稳定性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协同研发团队完成电源模块选型，制定测试验证流程，解决电源系统在研发、量产过程中的技术问题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跟踪行业技术趋势，推动电源系统的技术升级与创新，提升产品竞争力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参与超高清显示设备的系统级联调，确保电源系统兼容性，满足供电要求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"/>
              </w:numPr>
              <w:ind w:left="425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撰写电源系统设计文档，建立标准化流程，为生产、售后提供技术支持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 w:ascii="仿宋_GB2312"/>
              </w:rPr>
              <w:t>电气</w:t>
            </w:r>
            <w:r>
              <w:rPr>
                <w:rFonts w:hint="eastAsia"/>
                <w:lang w:eastAsia="zh-CN"/>
              </w:rPr>
              <w:t>工程及其自动化</w:t>
            </w:r>
            <w:r>
              <w:rPr>
                <w:rFonts w:hint="eastAsia" w:ascii="仿宋_GB2312"/>
              </w:rPr>
              <w:t>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主导过超高清显示设备电源系统设计，熟悉显示行业电源需求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精通电源拓扑设计与仿真分析，熟练使用 PSpice、MATLAB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</w:rPr>
              <w:t>Simulink 等工具进行电路仿真与优化，具备EMC 设计与整改能力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熟悉国内外电源相关标准，持有CPD（持续专业发展）认证或注册电气工程师资质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具备跨部门协作能力，能与硬件、软件团队紧密配合完成产品开发；</w:t>
            </w:r>
          </w:p>
          <w:p>
            <w:pPr>
              <w:pStyle w:val="16"/>
              <w:numPr>
                <w:ilvl w:val="0"/>
                <w:numId w:val="1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pStyle w:val="4"/>
        <w:bidi w:val="0"/>
        <w:ind w:left="2940" w:leftChars="0" w:firstLine="420" w:firstLineChars="0"/>
        <w:rPr>
          <w:rFonts w:hint="eastAsia"/>
        </w:rPr>
      </w:pPr>
      <w:bookmarkStart w:id="104" w:name="_Toc22097"/>
      <w:bookmarkStart w:id="105" w:name="_Toc12100"/>
      <w:bookmarkStart w:id="106" w:name="_Toc32122"/>
      <w:bookmarkStart w:id="107" w:name="_Toc15809"/>
      <w:bookmarkStart w:id="108" w:name="_Toc29564"/>
      <w:bookmarkStart w:id="109" w:name="_Toc22839"/>
      <w:r>
        <w:rPr>
          <w:rFonts w:hint="eastAsia"/>
          <w:lang w:val="en-US" w:eastAsia="zh-CN"/>
        </w:rPr>
        <w:t>6.光机设计专家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4"/>
      <w:bookmarkEnd w:id="105"/>
      <w:bookmarkEnd w:id="106"/>
      <w:bookmarkEnd w:id="107"/>
      <w:bookmarkEnd w:id="108"/>
      <w:bookmarkEnd w:id="10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光机设计专家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负责超高清显示光机系统设计，主导光学架构选型与光路仿真；</w:t>
            </w:r>
          </w:p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优化光学性能，解决杂散光、色散、热失焦等核心问题；</w:t>
            </w:r>
          </w:p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主导光机原型机搭建与测试，制定可靠性标准，推动DVP闭环；</w:t>
            </w:r>
          </w:p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协同结构、电子团队完成光机-屏幕-驱动IC的集成，缩短产品开发周期；</w:t>
            </w:r>
          </w:p>
          <w:p>
            <w:pPr>
              <w:pStyle w:val="16"/>
              <w:numPr>
                <w:ilvl w:val="0"/>
                <w:numId w:val="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跟踪光学前沿技术，主导创新方案预研与专利布局。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光电信息科学与工程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应用物理学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"/>
              </w:numPr>
              <w:bidi w:val="0"/>
            </w:pPr>
            <w:r>
              <w:rPr>
                <w:rFonts w:hint="default"/>
              </w:rPr>
              <w:t>精通几何光学/物理光学理论，熟悉显示光学标准及量测设备；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</w:pPr>
            <w:r>
              <w:t>熟练使用光学设计软件</w:t>
            </w:r>
            <w:r>
              <w:rPr>
                <w:rFonts w:hint="eastAsia"/>
                <w:lang w:eastAsia="zh-CN"/>
              </w:rPr>
              <w:t>，</w:t>
            </w:r>
            <w:r>
              <w:t>能够独立绘制相关光学图纸；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t>熟悉光学检测工作流程，能够独立输出DOE验证报告；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主导过光机产品开发，具备杂光分析、公差分析实战经验；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default"/>
              </w:rPr>
              <w:t>深度理解显示产业链，擅长通过光学设计提升显示效果；</w:t>
            </w:r>
          </w:p>
          <w:p>
            <w:pPr>
              <w:pStyle w:val="16"/>
              <w:numPr>
                <w:ilvl w:val="0"/>
                <w:numId w:val="12"/>
              </w:numPr>
              <w:bidi w:val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10" w:name="_Toc28708"/>
      <w:bookmarkStart w:id="111" w:name="_Toc2936"/>
      <w:bookmarkStart w:id="112" w:name="_Toc11442"/>
      <w:bookmarkStart w:id="113" w:name="_Toc1046"/>
      <w:bookmarkStart w:id="114" w:name="_Toc31499"/>
      <w:bookmarkStart w:id="115" w:name="_Toc14926"/>
      <w:r>
        <w:rPr>
          <w:rFonts w:hint="eastAsia"/>
          <w:lang w:val="en-US" w:eastAsia="zh-CN"/>
        </w:rPr>
        <w:t>7.光学镜头设计专家</w:t>
      </w:r>
      <w:r>
        <w:rPr>
          <w:rFonts w:hint="eastAsia"/>
        </w:rPr>
        <w:t>——五星</w:t>
      </w:r>
      <w:bookmarkEnd w:id="11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光学镜头设计专家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负责光学镜头的设计与开发，包括像质优化、像差校正及公差分析；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主导镜头光学架构设计，提升成像分辨率与光效利用率；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协同机械、电子团队解决镜头装配偏差、热变形等问题，推进量产可行性；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开发新型光学材料及自由曲面技术；</w:t>
            </w:r>
          </w:p>
          <w:p>
            <w:pPr>
              <w:pStyle w:val="16"/>
              <w:numPr>
                <w:ilvl w:val="0"/>
                <w:numId w:val="13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跟踪计算光学、衍射光学等前沿技术，推动镜头轻量化与性能突破。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highlight w:val="none"/>
                <w:lang w:eastAsia="zh-CN"/>
              </w:rPr>
              <w:t>硕士研究生</w:t>
            </w:r>
            <w:r>
              <w:rPr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光学工程</w:t>
            </w:r>
            <w:r>
              <w:t>、</w:t>
            </w:r>
            <w:r>
              <w:rPr>
                <w:rFonts w:hint="eastAsia"/>
                <w:lang w:eastAsia="zh-CN"/>
              </w:rPr>
              <w:t>精密仪器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掌握光学镜头原材料的特性以及结构知识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了解黑白料的加工工艺，了解镜头制造工艺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精通光学镜头设计仿真，掌握光学设计软件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4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16" w:name="_Toc22084"/>
      <w:r>
        <w:rPr>
          <w:rFonts w:hint="eastAsia"/>
          <w:lang w:val="en-US" w:eastAsia="zh-CN"/>
        </w:rPr>
        <w:t>8.显示模组专家</w:t>
      </w:r>
      <w:r>
        <w:rPr>
          <w:rFonts w:hint="eastAsia"/>
        </w:rPr>
        <w:t>——五星</w:t>
      </w:r>
      <w:bookmarkEnd w:id="111"/>
      <w:bookmarkEnd w:id="112"/>
      <w:bookmarkEnd w:id="113"/>
      <w:bookmarkEnd w:id="114"/>
      <w:bookmarkEnd w:id="115"/>
      <w:bookmarkEnd w:id="116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显示模组专家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负责超高清视频显示模组的规划与设计，确保模组性能、成本与生产效率的最优化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根据产品需求，选择最合适的显示技术、材料与工艺，制定模组设计方案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领导跨职能团队，从概念设计到量产的全过程管理，确保项目按时、按质、按预算完成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分析模组成本构成，提出成本降低策略，提高产品竞争力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跟踪显示技术的最新发展，评估新技术在模组中的应用潜力。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材料科学与工程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精通显示模组的设计原理、工艺流程与质量控制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强大的项目管理能力，能够高效领导跨职能团队，推动项目进展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6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17" w:name="_Toc19441"/>
      <w:bookmarkStart w:id="118" w:name="_Toc990"/>
      <w:bookmarkStart w:id="119" w:name="_Toc7179"/>
      <w:bookmarkStart w:id="120" w:name="_Toc21776"/>
      <w:r>
        <w:rPr>
          <w:rFonts w:hint="eastAsia"/>
          <w:lang w:val="en-US" w:eastAsia="zh-CN"/>
        </w:rPr>
        <w:t>9.超高清视频显示AI算法专家</w:t>
      </w:r>
      <w:r>
        <w:rPr>
          <w:rFonts w:hint="eastAsia"/>
        </w:rPr>
        <w:t>——五星</w:t>
      </w:r>
      <w:bookmarkEnd w:id="92"/>
      <w:bookmarkEnd w:id="93"/>
      <w:bookmarkEnd w:id="117"/>
      <w:bookmarkEnd w:id="118"/>
      <w:bookmarkEnd w:id="119"/>
      <w:bookmarkEnd w:id="12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超高清视频显示AI</w:t>
            </w:r>
            <w:r>
              <w:rPr>
                <w:rFonts w:hint="eastAsia"/>
                <w:lang w:eastAsia="zh-CN"/>
              </w:rPr>
              <w:t>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负责超高清视频显示领域AI算法研发，包括视频编解码优化、画质增强、超分辨率重建、动态范围扩展等核心算法设计与落地；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优化现有视频算法，提升处理效率与画质，适配不同硬件平台，降低资源损耗；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t>主导AI模型轻量化部署，协同硬件团队完成算法在端侧芯片的加速与适配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攻克产品研发中复杂算法问题，提供有效方案；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构建算法评估体系，以超高清产品指标，衡量算法性能；</w:t>
            </w:r>
          </w:p>
          <w:p>
            <w:pPr>
              <w:pStyle w:val="16"/>
              <w:numPr>
                <w:ilvl w:val="0"/>
                <w:numId w:val="17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参与技术预研与专利布局，推动产学研合作，构建技术壁垒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80万元及以上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新一代电子信息技术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含量子技术等</w:t>
            </w:r>
            <w:r>
              <w:rPr>
                <w:rFonts w:hint="default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、计算机技术、应用数学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熟知视频编解码算法，能改进定制；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掌握图像增强、降噪、超分辨率等图像处理算法，提升画质；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具备深厚的数学功底，擅长用矩阵、概率知识解算法难题；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熟练运用Python、C/C++编程实现算法，熟悉常用库与框架；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熟悉超高清视频硬件架构，以硬件特性优化算法；</w:t>
            </w:r>
          </w:p>
          <w:p>
            <w:pPr>
              <w:pStyle w:val="16"/>
              <w:numPr>
                <w:ilvl w:val="0"/>
                <w:numId w:val="18"/>
              </w:numPr>
              <w:bidi w:val="0"/>
              <w:ind w:leftChars="0"/>
              <w:rPr>
                <w:rFonts w:hint="default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default"/>
                <w:lang w:eastAsia="zh-CN"/>
              </w:rPr>
              <w:t>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121" w:name="_Toc25240"/>
      <w:bookmarkStart w:id="122" w:name="_Toc3486"/>
      <w:bookmarkStart w:id="123" w:name="_Toc15939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24" w:name="_Toc27590"/>
      <w:bookmarkStart w:id="125" w:name="_Toc31986"/>
      <w:bookmarkStart w:id="126" w:name="_Toc19069"/>
      <w:r>
        <w:rPr>
          <w:rFonts w:hint="eastAsia"/>
          <w:lang w:val="en-US" w:eastAsia="zh-CN"/>
        </w:rPr>
        <w:t>10.超高清视频显示触控算法专家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21"/>
      <w:bookmarkEnd w:id="122"/>
      <w:bookmarkEnd w:id="123"/>
      <w:bookmarkEnd w:id="124"/>
      <w:bookmarkEnd w:id="125"/>
      <w:bookmarkEnd w:id="126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超高清视频显示触控算法专家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负责超高清显示</w:t>
            </w:r>
            <w:r>
              <w:rPr>
                <w:rFonts w:hint="default"/>
                <w:lang w:eastAsia="zh-CN"/>
              </w:rPr>
              <w:t>产品</w:t>
            </w:r>
            <w:r>
              <w:rPr>
                <w:rFonts w:hint="default"/>
              </w:rPr>
              <w:t>触控交互算法</w:t>
            </w:r>
            <w:r>
              <w:rPr>
                <w:rFonts w:hint="default"/>
                <w:lang w:eastAsia="zh-CN"/>
              </w:rPr>
              <w:t>及防抖算法的研发</w:t>
            </w:r>
            <w:r>
              <w:rPr>
                <w:rFonts w:hint="default"/>
              </w:rPr>
              <w:t>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针对高刷新率显示屏优化触控响应延迟，突破触控采样率与显示帧率的同步瓶颈，提升触控跟手性；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针对高分辨率高帧率场景，突破运动估计、轨迹补偿、边缘修正等关键技术，降低运动模糊与果冻效应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主导复杂场景算法优化，构建抗干扰能力强、环境适应性高的触控解决方案；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协同硬件团队完成触控芯片算法部署，优化传感器驱动与固件交互逻辑；</w:t>
            </w:r>
          </w:p>
          <w:p>
            <w:pPr>
              <w:pStyle w:val="16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预研新型触控技术，推动技术原型验证与产品化落地。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70万元及以上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新一代电子信息技术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含量子技术等</w:t>
            </w:r>
            <w:r>
              <w:rPr>
                <w:rFonts w:hint="default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、计算机技术、应用数学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精通数学原理，运用数学方法构建触控算法模型；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熟练掌握主流编程语言，具备良好的代码编写和调试能力；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熟悉常见触控算法，能独立进行算法设计与优化；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熟悉触控传感器、触控芯片的工作原理；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掌握数据采集与分析方法，为算法优化提供依据；</w:t>
            </w:r>
          </w:p>
          <w:p>
            <w:pPr>
              <w:pStyle w:val="16"/>
              <w:numPr>
                <w:ilvl w:val="0"/>
                <w:numId w:val="2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7" w:name="_Toc22776"/>
      <w:bookmarkStart w:id="128" w:name="_Toc29630"/>
      <w:bookmarkStart w:id="129" w:name="_Toc10717"/>
      <w:bookmarkStart w:id="130" w:name="_Toc13177"/>
      <w:bookmarkStart w:id="131" w:name="_Toc1659"/>
      <w:bookmarkStart w:id="132" w:name="_Toc21979"/>
      <w:r>
        <w:rPr>
          <w:rFonts w:hint="eastAsia"/>
          <w:lang w:val="en-US" w:eastAsia="zh-CN"/>
        </w:rPr>
        <w:t>11.超高清视频显示多模态算法专家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27"/>
      <w:bookmarkEnd w:id="128"/>
      <w:bookmarkEnd w:id="129"/>
      <w:bookmarkEnd w:id="130"/>
      <w:bookmarkEnd w:id="131"/>
      <w:bookmarkEnd w:id="132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超高清视频显示多模态算法专家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负责超高清视频显示场景的多模态算法研发；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主导视觉-文本-语音跨模态融合算法设计，优化显示内容生成、交互体验；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解决低延迟编码、实时渲染、带宽压缩等核心技术难题；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协同硬件团队完成算法芯片化部署，平衡算力与功耗；</w:t>
            </w:r>
          </w:p>
          <w:p>
            <w:pPr>
              <w:pStyle w:val="16"/>
              <w:numPr>
                <w:ilvl w:val="0"/>
                <w:numId w:val="21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跟踪AIGC与元宇宙技术趋势，主导沉浸式显示算法预研与专利布局。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80万元及以上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新一代电子信息技术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含量子技术等</w:t>
            </w:r>
            <w:r>
              <w:rPr>
                <w:rFonts w:hint="default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、计算机技术、应用数学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精通PyTorch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TensorFlow框架，熟悉SOTA模型及微调技术；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主导过显示相关算法落地，具备视频编码实战经验；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深度理解显示产业链，擅长通过算法优化弥补硬件限制；</w:t>
            </w:r>
          </w:p>
          <w:p>
            <w:pPr>
              <w:pStyle w:val="16"/>
              <w:numPr>
                <w:ilvl w:val="0"/>
                <w:numId w:val="2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33" w:name="_Toc31833"/>
      <w:bookmarkStart w:id="134" w:name="_Toc29785"/>
      <w:bookmarkStart w:id="135" w:name="_Toc32265"/>
      <w:bookmarkStart w:id="136" w:name="_Toc27124"/>
      <w:bookmarkStart w:id="137" w:name="_Toc13410"/>
      <w:bookmarkStart w:id="138" w:name="_Toc15477"/>
      <w:r>
        <w:rPr>
          <w:rFonts w:hint="eastAsia"/>
          <w:lang w:val="en-US" w:eastAsia="zh-CN"/>
        </w:rPr>
        <w:t>12.音视频编解码专家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33"/>
      <w:bookmarkEnd w:id="134"/>
      <w:bookmarkEnd w:id="135"/>
      <w:bookmarkEnd w:id="136"/>
      <w:bookmarkEnd w:id="137"/>
      <w:bookmarkEnd w:id="138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音视频编解码专家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t>负责面向音视频编解码创新研究，包括视频编解码关键技术及总体方案设计等，挖掘创新技术方向并形成技术方案，输出发明专利；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t>负责推动关键技术研究方向与技术方案成为行业标准，输出会议提案并参与AVS</w:t>
            </w:r>
            <w:r>
              <w:rPr>
                <w:rFonts w:hint="eastAsia"/>
                <w:lang w:eastAsia="zh-CN"/>
              </w:rPr>
              <w:t>、</w:t>
            </w:r>
            <w:r>
              <w:t>JVET等标准组织会议，与领域内专家建立密切的联系；</w:t>
            </w:r>
          </w:p>
          <w:p>
            <w:pPr>
              <w:pStyle w:val="16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t>跟进收集视频编解码等行业标准化进展、技术演进趋势等信息，支持产品部门进行技术选型和决策。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新一代电子信息技术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含量子技术等</w:t>
            </w:r>
            <w:r>
              <w:rPr>
                <w:rFonts w:hint="default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、计算机技术、通信与信息系统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熟悉OpenCV、MATLAB等工具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精通数字信号处理、图像滤波、运动估计等算法原理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强大的编程能力，熟悉C/C++、Python等编程语言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39" w:name="_Toc29642"/>
      <w:bookmarkStart w:id="140" w:name="_Toc31748"/>
      <w:bookmarkStart w:id="141" w:name="_Toc26424"/>
      <w:bookmarkStart w:id="142" w:name="_Toc19892"/>
      <w:bookmarkStart w:id="143" w:name="_Toc32251"/>
      <w:bookmarkStart w:id="144" w:name="_Toc25823"/>
      <w:r>
        <w:rPr>
          <w:rFonts w:hint="eastAsia"/>
          <w:lang w:val="en-US" w:eastAsia="zh-CN"/>
        </w:rPr>
        <w:t>13.显示产品AI架构师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39"/>
      <w:bookmarkEnd w:id="140"/>
      <w:bookmarkEnd w:id="141"/>
      <w:bookmarkEnd w:id="142"/>
      <w:bookmarkEnd w:id="143"/>
      <w:bookmarkEnd w:id="144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显示产品AI架构师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主导超高清显示领域AI算法架构设计，构建端到端智能显示解决方案；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优化深度学习模型，实现低功耗、实时性与高精度；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解决AI与显示融合的技术难题，提升显示效果；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开发AI训练平台，构建超高清显示数据集，推动算法迭代；</w:t>
            </w:r>
          </w:p>
          <w:p>
            <w:pPr>
              <w:pStyle w:val="16"/>
              <w:numPr>
                <w:ilvl w:val="0"/>
                <w:numId w:val="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协同硬件团队完成AI加速芯片的部署与优化，支撑低功耗场景落地。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计算机科学与技术、电子信息工程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C++开发，熟悉深度学习框架及模型优化工具；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具备视频增强、计算机视觉实战经验；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深度理解显示产业链，擅长通过AI弥补硬件限制；</w:t>
            </w:r>
          </w:p>
          <w:p>
            <w:pPr>
              <w:pStyle w:val="16"/>
              <w:numPr>
                <w:ilvl w:val="0"/>
                <w:numId w:val="26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45" w:name="_Toc19298"/>
      <w:bookmarkStart w:id="146" w:name="_Toc7071"/>
      <w:bookmarkStart w:id="147" w:name="_Toc8439"/>
      <w:bookmarkStart w:id="148" w:name="_Toc28229"/>
      <w:bookmarkStart w:id="149" w:name="_Toc12024"/>
      <w:bookmarkStart w:id="150" w:name="_Toc3807"/>
      <w:r>
        <w:rPr>
          <w:rFonts w:hint="eastAsia"/>
          <w:lang w:val="en-US" w:eastAsia="zh-CN"/>
        </w:rPr>
        <w:t>14.</w:t>
      </w:r>
      <w:r>
        <w:rPr>
          <w:rFonts w:hint="default"/>
        </w:rPr>
        <w:t>显示</w:t>
      </w:r>
      <w:r>
        <w:rPr>
          <w:rFonts w:hint="eastAsia"/>
          <w:lang w:eastAsia="zh-CN"/>
        </w:rPr>
        <w:t>驱动</w:t>
      </w:r>
      <w: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45"/>
      <w:bookmarkEnd w:id="146"/>
      <w:bookmarkEnd w:id="147"/>
      <w:bookmarkEnd w:id="148"/>
      <w:bookmarkEnd w:id="149"/>
      <w:bookmarkEnd w:id="15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/>
              </w:rPr>
              <w:t>显示</w:t>
            </w:r>
            <w:r>
              <w:rPr>
                <w:rFonts w:hint="eastAsia"/>
                <w:lang w:eastAsia="zh-CN"/>
              </w:rPr>
              <w:t>驱动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负责高清视频显示驱动系统的设计与实现，包括图像处理、色彩管理、刷新率优化等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分析和解决显示驱动系统中的技术问题，提升显示质量和用户体验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与硬件团队紧密合作，确保驱动软件与硬件平台的兼容性和性能优化；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参与显示驱动系统的测试与验证，确保系统的稳定性和可靠性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跟踪行业动态，引入新技术，推动显示驱动系统的持续优化和创新。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新一代电子信息技术</w:t>
            </w:r>
            <w:r>
              <w:rPr>
                <w:rFonts w:hint="default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含量子技术等</w:t>
            </w:r>
            <w:r>
              <w:rPr>
                <w:rFonts w:hint="default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、计算机技术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熟悉高清视频显示技术和驱动架构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精通C/C++编程，具备良好的编程风格和问题解决能力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熟悉嵌入式系统、实时操作系统和显示驱动开发流程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8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51" w:name="_Toc30271"/>
      <w:bookmarkStart w:id="152" w:name="_Toc16033"/>
      <w:bookmarkStart w:id="153" w:name="_Toc17845"/>
      <w:bookmarkStart w:id="154" w:name="_Toc6995"/>
      <w:bookmarkStart w:id="155" w:name="_Toc27498"/>
      <w:bookmarkStart w:id="156" w:name="_Toc487"/>
      <w:r>
        <w:rPr>
          <w:rFonts w:hint="eastAsia"/>
          <w:lang w:val="en-US" w:eastAsia="zh-CN"/>
        </w:rPr>
        <w:t>15.显示产品软件架构师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51"/>
      <w:bookmarkEnd w:id="152"/>
      <w:bookmarkEnd w:id="153"/>
      <w:bookmarkEnd w:id="154"/>
      <w:bookmarkEnd w:id="155"/>
      <w:bookmarkEnd w:id="156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显示产品软件架构师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负责显示器软件系统的整体架构设计，确保系统稳定性、可扩展性和性能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根据产品需求，选择合适的软件技术栈，优化软件架构以满足高清显示的高要求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指导并参与软件开发，确保软件模块与硬件系统无缝集成，实现高效显示控制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持续优化软件性能，解决显示延迟、图像质量等问题，提升用户体验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与硬件工程师、产品经理及测试团队紧密合作，确保项目按时、高质量完成。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计算机科学与技术、软件工程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精通C/C++、嵌入式系统开发，熟悉RTOS、Linux等操作系统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深入理解软件架构设计模式，能够设计高可用、可扩展的系统架构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57" w:name="_Toc895"/>
      <w:bookmarkStart w:id="158" w:name="_Toc9444"/>
      <w:bookmarkStart w:id="159" w:name="_Toc16507"/>
      <w:bookmarkStart w:id="160" w:name="_Toc1579"/>
      <w:bookmarkStart w:id="161" w:name="_Toc2824"/>
      <w:bookmarkStart w:id="162" w:name="_Toc9306"/>
      <w:r>
        <w:rPr>
          <w:rFonts w:hint="eastAsia"/>
          <w:lang w:val="en-US" w:eastAsia="zh-CN"/>
        </w:rPr>
        <w:t>16.</w:t>
      </w:r>
      <w:r>
        <w:rPr>
          <w:rFonts w:hint="eastAsia"/>
          <w:lang w:eastAsia="zh-CN"/>
        </w:rPr>
        <w:t>量子点技术</w:t>
      </w:r>
      <w: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57"/>
      <w:bookmarkEnd w:id="158"/>
      <w:bookmarkEnd w:id="159"/>
      <w:bookmarkEnd w:id="160"/>
      <w:bookmarkEnd w:id="161"/>
      <w:bookmarkEnd w:id="162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量子点技术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1"/>
              </w:numPr>
              <w:bidi w:val="0"/>
            </w:pPr>
            <w:r>
              <w:t>负责量子点材料在显示领域的研发与应用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</w:pPr>
            <w:r>
              <w:t>主导量子点合成工艺优化及器件集成方案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</w:pPr>
            <w:r>
              <w:t>研发新型量子点结构，推动HDR显示性能提升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</w:pPr>
            <w:r>
              <w:rPr>
                <w:rFonts w:hint="eastAsia"/>
              </w:rPr>
              <w:t>优化量子点墨水配方及成膜工艺，提升材料的光学性能及量产一致性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研究量子点材料与显示面板的界面匹配性，解决器件可靠性问题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跟踪全球量子点显示技术动态，撰写技术调研报告并规划研发路线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1"/>
              </w:numPr>
              <w:bidi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参与专利申请与技术文档撰写，推动核心技术的知识产权布局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材料科学与工程类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物理电子学、化学工程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2"/>
              </w:numPr>
              <w:bidi w:val="0"/>
              <w:ind w:left="425" w:leftChars="0" w:firstLineChars="0"/>
            </w:pPr>
            <w:r>
              <w:t>精通量子点合成化学、光谱表征及可靠性测试</w:t>
            </w:r>
            <w:r>
              <w:rPr>
                <w:rFonts w:hint="default"/>
                <w:lang w:eastAsia="zh-CN"/>
              </w:rPr>
              <w:t>，具</w:t>
            </w:r>
            <w:r>
              <w:t>有QLED器件或量子点膜量产经验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2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t>具备材料仿真能力，熟练使用TEM</w:t>
            </w:r>
            <w:r>
              <w:rPr>
                <w:rFonts w:hint="default"/>
                <w:lang w:eastAsia="zh-CN"/>
              </w:rPr>
              <w:t>、</w:t>
            </w:r>
            <w:r>
              <w:t>SEM</w:t>
            </w:r>
            <w:r>
              <w:rPr>
                <w:rFonts w:hint="default"/>
                <w:lang w:eastAsia="zh-CN"/>
              </w:rPr>
              <w:t>、</w:t>
            </w:r>
            <w:r>
              <w:t>AFM等分析设备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default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3" w:name="_Toc11505"/>
      <w:bookmarkStart w:id="164" w:name="_Toc23868"/>
      <w:bookmarkStart w:id="165" w:name="_Toc13200"/>
      <w:bookmarkStart w:id="166" w:name="_Toc11223"/>
      <w:bookmarkStart w:id="167" w:name="_Toc11167"/>
      <w:bookmarkStart w:id="168" w:name="_Toc14104"/>
      <w:r>
        <w:rPr>
          <w:rFonts w:hint="eastAsia"/>
          <w:lang w:val="en-US" w:eastAsia="zh-CN"/>
        </w:rPr>
        <w:t>17.COB技术专家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63"/>
      <w:bookmarkEnd w:id="164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COB技术专家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制定COB技术长期发展战略，明确研发重点与技术路线，引领公司COB技术创新；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主导超高清视频显示COB项目技术工作，全程把控技术质量，确保项目符合行业标准与公司目标；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持续优化COB封装工艺，提升产品良率、稳定性及显示效果；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探索新工艺、新材料应用，推动COB技术在超高清视频领域的升级；</w:t>
            </w:r>
          </w:p>
          <w:p>
            <w:pPr>
              <w:pStyle w:val="16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组建、培训并管理COB技术团队，提升团队整体技术水平，营造创新氛围，激发团队创造力。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70万元及以上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电子科学与技术、材料科学与工程、机械工程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精通COB封装技术原理，熟练掌握COB工艺流程，能够优化工艺参数；</w:t>
            </w:r>
          </w:p>
          <w:p>
            <w:pPr>
              <w:pStyle w:val="16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熟悉显示面板、驱动芯片等相关知识，可将COB技术与超高清显示需求有效结合；</w:t>
            </w:r>
          </w:p>
          <w:p>
            <w:pPr>
              <w:pStyle w:val="16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掌握材料性能，合理选择COB封装材料，提升产品性能；</w:t>
            </w:r>
          </w:p>
          <w:p>
            <w:pPr>
              <w:pStyle w:val="16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深度参与COB封装设备与工装设计，提高生产效率与产品质量；</w:t>
            </w:r>
          </w:p>
          <w:p>
            <w:pPr>
              <w:pStyle w:val="16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default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9" w:name="_Toc14951"/>
      <w:bookmarkStart w:id="170" w:name="_Toc4237"/>
      <w:r>
        <w:rPr>
          <w:rFonts w:hint="eastAsia"/>
          <w:lang w:val="en-US" w:eastAsia="zh-CN"/>
        </w:rPr>
        <w:t>18.超高清视频显示营销总监</w:t>
      </w:r>
      <w:r>
        <w:rPr>
          <w:rFonts w:hint="eastAsia"/>
        </w:rPr>
        <w:t>——五星</w:t>
      </w:r>
      <w:bookmarkEnd w:id="165"/>
      <w:bookmarkEnd w:id="166"/>
      <w:bookmarkEnd w:id="167"/>
      <w:bookmarkEnd w:id="168"/>
      <w:bookmarkEnd w:id="169"/>
      <w:bookmarkEnd w:id="17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超高清视频显示营销总监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5"/>
              </w:numPr>
              <w:ind w:left="425"/>
            </w:pPr>
            <w:r>
              <w:rPr>
                <w:rFonts w:hint="default"/>
              </w:rPr>
              <w:t>制定超高清视频显示产业全球营销战略，统筹品牌定位、产品推广与渠道拓展，打造行业标杆案例；</w:t>
            </w:r>
          </w:p>
          <w:p>
            <w:pPr>
              <w:pStyle w:val="16"/>
              <w:numPr>
                <w:ilvl w:val="0"/>
                <w:numId w:val="35"/>
              </w:numPr>
              <w:ind w:left="425"/>
              <w:rPr>
                <w:rFonts w:hint="default"/>
              </w:rPr>
            </w:pPr>
            <w:r>
              <w:rPr>
                <w:rFonts w:hint="default"/>
              </w:rPr>
              <w:t>主导市场洞察与竞品分析，提炼技术卖点，设计差异化营销方案；</w:t>
            </w:r>
          </w:p>
          <w:p>
            <w:pPr>
              <w:pStyle w:val="16"/>
              <w:numPr>
                <w:ilvl w:val="0"/>
                <w:numId w:val="35"/>
              </w:numPr>
              <w:ind w:left="425"/>
              <w:rPr>
                <w:rFonts w:hint="default"/>
              </w:rPr>
            </w:pPr>
            <w:r>
              <w:rPr>
                <w:rFonts w:hint="default"/>
              </w:rPr>
              <w:t>策划全渠道整合营销，对ROI负责；</w:t>
            </w:r>
          </w:p>
          <w:p>
            <w:pPr>
              <w:pStyle w:val="16"/>
              <w:numPr>
                <w:ilvl w:val="0"/>
                <w:numId w:val="35"/>
              </w:numPr>
              <w:ind w:left="425"/>
              <w:rPr>
                <w:rFonts w:hint="default"/>
              </w:rPr>
            </w:pPr>
            <w:r>
              <w:rPr>
                <w:rFonts w:hint="default"/>
              </w:rPr>
              <w:t>构建用户增长体系，通过私域运营、行业展会及异业联盟提升品牌认知；</w:t>
            </w:r>
          </w:p>
          <w:p>
            <w:pPr>
              <w:pStyle w:val="16"/>
              <w:numPr>
                <w:ilvl w:val="0"/>
                <w:numId w:val="35"/>
              </w:numPr>
              <w:ind w:left="425"/>
              <w:rPr>
                <w:rFonts w:hint="default"/>
              </w:rPr>
            </w:pPr>
            <w:r>
              <w:rPr>
                <w:rFonts w:hint="default"/>
              </w:rPr>
              <w:t>协同研发团队设计C2M反向定制产品，推动技术成果商业化转化；</w:t>
            </w:r>
          </w:p>
          <w:p>
            <w:pPr>
              <w:pStyle w:val="16"/>
              <w:numPr>
                <w:ilvl w:val="0"/>
                <w:numId w:val="35"/>
              </w:numPr>
              <w:ind w:left="425"/>
              <w:rPr>
                <w:rFonts w:hint="default"/>
              </w:rPr>
            </w:pPr>
            <w:r>
              <w:rPr>
                <w:rFonts w:hint="default"/>
              </w:rPr>
              <w:t>监测全球显示技术趋势，输出战略级市场进入建议。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市场营销、广告学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具备出色的市场洞察能力与战略规划能力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熟悉数字营销、品牌建设、渠道管理等关键营销领域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6"/>
              </w:numPr>
              <w:bidi w:val="0"/>
              <w:ind w:left="425" w:leftChars="0" w:firstLineChars="0"/>
              <w:rPr>
                <w:rFonts w:hint="default"/>
                <w:szCs w:val="30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1" w:name="_Toc4645"/>
      <w:bookmarkStart w:id="172" w:name="_Toc3439"/>
      <w:bookmarkStart w:id="173" w:name="_Toc30495"/>
      <w:bookmarkStart w:id="174" w:name="_Toc29249"/>
      <w:bookmarkStart w:id="175" w:name="_Toc3022"/>
      <w:bookmarkStart w:id="176" w:name="_Toc28576"/>
      <w:r>
        <w:rPr>
          <w:rFonts w:hint="eastAsia"/>
          <w:lang w:val="en-US" w:eastAsia="zh-CN"/>
        </w:rPr>
        <w:t>19.超高清视频显示海外销售总监</w:t>
      </w:r>
      <w:r>
        <w:rPr>
          <w:rFonts w:hint="eastAsia"/>
        </w:rPr>
        <w:t>——五星</w:t>
      </w:r>
      <w:bookmarkEnd w:id="171"/>
      <w:bookmarkEnd w:id="172"/>
      <w:bookmarkEnd w:id="173"/>
      <w:bookmarkEnd w:id="174"/>
      <w:bookmarkEnd w:id="175"/>
      <w:bookmarkEnd w:id="176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超高清视频显示海外销售总监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根据海外市场趋势与公司目标，制定并实施海外销售策略与市场拓展计划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统筹海外代理商、系统集成商、品牌商合作生态建设，设计渠道激励政策与分级管理体系，提升区域市场覆盖率；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建立并维护与国际客户、合作伙伴的良好关系，挖掘潜在客户，提升客户满意度与忠诚度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领导并培养海外销售团队，提升团队整体销售技能与市场开拓能力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设定并达成海外销售目标，监控销售进度，确保销售任务的顺利完成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收集并分析海外市场反馈，为产品优化与技术创新提供数据支持。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市场营销、国际经济与贸易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firstLineChars="0"/>
            </w:pPr>
            <w:r>
              <w:t>精通显示产品技术参数及行业应用场景，能与技术团队协同输出解决方案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精通国际贸易流程，熟悉海外市场与文化，具备良好的跨文化沟通能力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出色的销售技巧与谈判能力，能够有效管理销售渠道与客户关系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8"/>
              </w:numPr>
              <w:bidi w:val="0"/>
              <w:ind w:left="425" w:leftChars="0" w:firstLineChars="0"/>
              <w:rPr>
                <w:rFonts w:hint="default"/>
                <w:szCs w:val="30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7" w:name="_Toc20442"/>
      <w:bookmarkStart w:id="178" w:name="_Toc2655"/>
      <w:bookmarkStart w:id="179" w:name="_Toc10205"/>
      <w:bookmarkStart w:id="180" w:name="_Toc6335"/>
      <w:bookmarkStart w:id="181" w:name="_Toc11239"/>
      <w:bookmarkStart w:id="182" w:name="_Toc26123"/>
      <w:r>
        <w:rPr>
          <w:rFonts w:hint="eastAsia"/>
          <w:lang w:val="en-US" w:eastAsia="zh-CN"/>
        </w:rPr>
        <w:t>20.超高清视频显示技术认证专家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77"/>
      <w:bookmarkEnd w:id="178"/>
      <w:bookmarkEnd w:id="179"/>
      <w:bookmarkEnd w:id="180"/>
      <w:bookmarkEnd w:id="181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超高清视频显示技术认证专家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制定超高清视频显示产品的国内外技术认证策略，规划认证路径并推动全流程实施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对接国内外认证机构，协调测试方案、整改要求及认证进度，确保产品符合目标市场法规与行业标准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跟踪全球超高清显示技术相关标准动态，分析认证要求变化对产品设计的影响，提出合规性改进建议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牵头解决认证过程中的技术问题，联合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default"/>
              </w:rPr>
              <w:t>团队制定方案并验证落地效果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撰写认证技术文档，建立认证知识库，为产品研发提供标准化技术支持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39"/>
              </w:numPr>
              <w:ind w:left="425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参与行业标准制定工作，提升企业在超高清显示认证领域的话语权。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70万元及以上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 w:ascii="仿宋_GB2312"/>
              </w:rPr>
              <w:t>电子信息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 w:ascii="仿宋_GB2312"/>
              </w:rPr>
              <w:t>、光电信息科学与工程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主导过超高清显示产品的国内外认证项目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精通国内外显示技术认证标准，熟悉认证流程中的EMC 测试、光学性能测试、安全可靠性测试等核心环节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具备出色的跨部门协作能力与技术翻译能力，能精准传递认证要求并协调研发团队完成技术整改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pStyle w:val="4"/>
        <w:bidi w:val="0"/>
        <w:rPr>
          <w:rFonts w:hint="eastAsia"/>
        </w:rPr>
      </w:pPr>
      <w:bookmarkStart w:id="183" w:name="_Toc490"/>
      <w:bookmarkStart w:id="184" w:name="_Toc32457"/>
      <w:bookmarkStart w:id="185" w:name="_Toc26957"/>
      <w:bookmarkStart w:id="186" w:name="_Toc32061"/>
      <w:bookmarkStart w:id="187" w:name="_Toc7793"/>
      <w:r>
        <w:rPr>
          <w:rFonts w:hint="eastAsia"/>
          <w:lang w:val="en-US" w:eastAsia="zh-CN"/>
        </w:rPr>
        <w:t>21.</w:t>
      </w:r>
      <w:r>
        <w:rPr>
          <w:rFonts w:hint="eastAsia"/>
          <w:lang w:eastAsia="zh-CN"/>
        </w:rPr>
        <w:t>超高清视频显示技术项目经理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2"/>
      <w:bookmarkEnd w:id="183"/>
      <w:bookmarkEnd w:id="184"/>
      <w:bookmarkEnd w:id="185"/>
      <w:bookmarkEnd w:id="186"/>
      <w:bookmarkEnd w:id="187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超高清视频显示技术项目经理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主导超高清显示产品从立项到量产的全周期管理，确保技术目标与交付周期达成；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制定项目计划、预算与风险管理策略，协调研发、供应链、生产团队资源，解决技术瓶颈；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对接客户需求，主导技术方案评审与变更管理，确保需求100%闭环；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监控量产爬坡、质量管控与成本管控，推动持续改进项目落地；</w:t>
            </w:r>
          </w:p>
          <w:p>
            <w:pPr>
              <w:pStyle w:val="16"/>
              <w:numPr>
                <w:ilvl w:val="0"/>
                <w:numId w:val="4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输出项目复盘报告，沉淀超高清显示项目管理方法论。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电子科学与技术、应用物理学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精通显示技术参数，熟悉</w:t>
            </w:r>
            <w:r>
              <w:rPr>
                <w:rFonts w:hint="eastAsia"/>
                <w:lang w:eastAsia="zh-CN"/>
              </w:rPr>
              <w:t>显示</w:t>
            </w:r>
            <w:r>
              <w:rPr>
                <w:rFonts w:hint="default"/>
              </w:rPr>
              <w:t>工艺；</w:t>
            </w:r>
          </w:p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主导过显示产品量产交付，具备跨部门资源协调与冲突解决能力；</w:t>
            </w:r>
          </w:p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深度理解显示产业链，擅长通过技术方案平衡性能与成本；</w:t>
            </w:r>
          </w:p>
          <w:p>
            <w:pPr>
              <w:pStyle w:val="16"/>
              <w:numPr>
                <w:ilvl w:val="0"/>
                <w:numId w:val="42"/>
              </w:numPr>
              <w:bidi w:val="0"/>
              <w:ind w:left="425" w:leftChars="0" w:firstLineChars="0"/>
              <w:rPr>
                <w:rFonts w:hint="default"/>
                <w:szCs w:val="30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8" w:name="_Toc788"/>
      <w:bookmarkStart w:id="189" w:name="_Toc21686"/>
      <w:bookmarkStart w:id="190" w:name="_Toc14439"/>
      <w:bookmarkStart w:id="191" w:name="_Toc8711"/>
      <w:bookmarkStart w:id="192" w:name="_Toc13788"/>
      <w:bookmarkStart w:id="193" w:name="_Toc22534"/>
      <w:r>
        <w:rPr>
          <w:rFonts w:hint="eastAsia"/>
          <w:lang w:val="en-US" w:eastAsia="zh-CN"/>
        </w:rPr>
        <w:t>22.新型显示技术研究专家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8"/>
      <w:bookmarkEnd w:id="189"/>
      <w:bookmarkEnd w:id="190"/>
      <w:bookmarkEnd w:id="191"/>
      <w:bookmarkEnd w:id="192"/>
      <w:bookmarkEnd w:id="19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新型显示技术研究专家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调研并分析新型显示技术的最新进展，制定研发策略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设计并优化新型显示技术的实验方案，进行原型机的开发与测试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解决新型显示技术在研发与应用过程中的技术难题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撰写技术报告与专利，保护公司的技术成果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与研发团队紧密合作，推动新型显示技术的商业化进程。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物理电子学、电子科学与技术类、材料科学与工程类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精通新型显示技术的工作原理、材料特性及制造工艺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具备扎实的物理与电子工程基础，熟悉相关仿真与测试工具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4" w:name="_Toc19477"/>
      <w:bookmarkStart w:id="195" w:name="_Toc27696"/>
      <w:bookmarkStart w:id="196" w:name="_Toc21643"/>
      <w:bookmarkStart w:id="197" w:name="_Toc6441"/>
      <w:bookmarkStart w:id="198" w:name="_Toc18956"/>
      <w:bookmarkStart w:id="199" w:name="_Toc30930"/>
      <w:r>
        <w:rPr>
          <w:rFonts w:hint="eastAsia"/>
          <w:lang w:val="en-US" w:eastAsia="zh-CN"/>
        </w:rPr>
        <w:t>23.超高清视频显示AI应用研究专家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4"/>
      <w:bookmarkEnd w:id="195"/>
      <w:bookmarkEnd w:id="196"/>
      <w:bookmarkEnd w:id="197"/>
      <w:bookmarkEnd w:id="198"/>
      <w:bookmarkEnd w:id="19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超高清视频显示AI应用研究专家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负责AI算法在超高清视频处理中的应用研发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优化AI模型，提升算法在超高清视频处理中的准确性、效率与实时性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参与超高清视频显示相关AI技术项目的规划、执行与评估，确保技术落地与产品化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跟踪AI领域最新技术趋势，探索新技术在超高清视频领域的创新应用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与视频处理、软件开发及产品经理团队紧密合作，共同推进项目进展。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计算机科学与技术类、人工智能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精通Python、TensorFlow、PyTorch等AI开发工具与框架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在计算机视觉、图像处理或自然语言处理等领域有深入研究与实践经验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46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00" w:name="_Toc7058"/>
      <w:bookmarkStart w:id="201" w:name="_Toc22925"/>
      <w:bookmarkStart w:id="202" w:name="_Toc15367"/>
      <w:bookmarkStart w:id="203" w:name="_Toc6693"/>
      <w:bookmarkStart w:id="204" w:name="_Toc7334"/>
      <w:bookmarkStart w:id="205" w:name="_Toc12076"/>
      <w:r>
        <w:rPr>
          <w:rFonts w:hint="eastAsia"/>
          <w:lang w:val="en-US" w:eastAsia="zh-CN"/>
        </w:rPr>
        <w:t>24.新型显示材料研究专家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0"/>
      <w:bookmarkEnd w:id="201"/>
      <w:bookmarkEnd w:id="202"/>
      <w:bookmarkEnd w:id="203"/>
      <w:bookmarkEnd w:id="204"/>
      <w:bookmarkEnd w:id="205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新型显示</w:t>
            </w:r>
            <w:r>
              <w:rPr>
                <w:rFonts w:hint="eastAsia"/>
                <w:lang w:eastAsia="zh-CN"/>
              </w:rPr>
              <w:t>材料研究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开展新型显示材料、电子材料等相关研究；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运用专业设备与方法，对研发及现有材料进行全面性能测试；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深入分析测试数据，评估材料适用性，为材料优化提供依据；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将研究的材料应用于实际产品开发中，与研发团队协作，优化材料在产品中的使用方案，提升产品性能与质量；</w:t>
            </w:r>
          </w:p>
          <w:p>
            <w:pPr>
              <w:pStyle w:val="16"/>
              <w:numPr>
                <w:ilvl w:val="0"/>
                <w:numId w:val="47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针对材料在研发与应用过程中出现的问题，开展专项研究，提出创新性解决方案，推动材料技术突破。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材料科学与工程类、化学工程、物理电子学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精通材料合成与制备方法，能够熟练运用多种实验技术合成新型材料；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熟练掌握各类材料性能测试设备与分析方法，可准确获取并解读材料性能数据；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了解超高清视频显示产品的工作原理与结构，熟悉材料在其中的应用场景与要求，便于开展针对性研究；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具备扎实的材料学理论基础，并撰写高质量研究报告；</w:t>
            </w:r>
          </w:p>
          <w:p>
            <w:pPr>
              <w:pStyle w:val="16"/>
              <w:numPr>
                <w:ilvl w:val="0"/>
                <w:numId w:val="48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06" w:name="_Toc12589"/>
      <w:bookmarkStart w:id="207" w:name="_Toc8407"/>
      <w:bookmarkStart w:id="208" w:name="_Toc26409"/>
      <w:bookmarkStart w:id="209" w:name="_Toc21496"/>
      <w:bookmarkStart w:id="210" w:name="_Toc30490"/>
      <w:bookmarkStart w:id="211" w:name="_Toc7676"/>
      <w:r>
        <w:rPr>
          <w:rFonts w:hint="eastAsia"/>
          <w:lang w:val="en-US" w:eastAsia="zh-CN"/>
        </w:rPr>
        <w:t>25.显示产品经理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6"/>
      <w:bookmarkEnd w:id="207"/>
      <w:bookmarkEnd w:id="208"/>
      <w:bookmarkEnd w:id="209"/>
      <w:bookmarkEnd w:id="210"/>
      <w:bookmarkEnd w:id="211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统筹超高清显示产品全生命周期管理，制定产品路线图与商业化策略；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深度调研市场需求，分析竞品动态，定义产品规格，输出PRD文档；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主导技术方案选型，协同研发团队攻克显示效果优化、动态背光算法等核心技术；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跨部门协调，管控项目进度、成本与质量，确保产品按时交付；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制定产品上市计划，策划营销卖点，支撑销售团队达成业绩目标；</w:t>
            </w:r>
          </w:p>
          <w:p>
            <w:pPr>
              <w:pStyle w:val="16"/>
              <w:numPr>
                <w:ilvl w:val="0"/>
                <w:numId w:val="4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跟踪用户反馈，驱动产品迭代，优化成本结构，提升市场占有率。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市场营销、电子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精通显示技术原理，熟悉8K、HDR、广色域等行业标准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</w:t>
            </w:r>
            <w:r>
              <w:rPr>
                <w:rFonts w:hint="eastAsia"/>
                <w:lang w:eastAsia="zh-CN"/>
              </w:rPr>
              <w:t>国内外</w:t>
            </w:r>
            <w:r>
              <w:rPr>
                <w:rFonts w:hint="default"/>
              </w:rPr>
              <w:t>市场趋势和消费者需求，熟悉</w:t>
            </w:r>
            <w:r>
              <w:rPr>
                <w:rFonts w:hint="eastAsia"/>
                <w:lang w:eastAsia="zh-CN"/>
              </w:rPr>
              <w:t>超高清视频显示</w:t>
            </w:r>
            <w:r>
              <w:rPr>
                <w:rFonts w:hint="default"/>
              </w:rPr>
              <w:t>产品的技术和市场特点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具备出色的市场分析、产品规划和项目管理能力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12" w:name="_Toc25042"/>
      <w:bookmarkStart w:id="213" w:name="_Toc18274"/>
      <w:bookmarkStart w:id="214" w:name="_Toc32502"/>
      <w:bookmarkStart w:id="215" w:name="_Toc26953"/>
      <w:bookmarkStart w:id="216" w:name="_Toc22346"/>
      <w:bookmarkStart w:id="217" w:name="_Toc29345"/>
      <w:r>
        <w:rPr>
          <w:rFonts w:hint="eastAsia"/>
          <w:lang w:val="en-US" w:eastAsia="zh-CN"/>
        </w:rPr>
        <w:t>26.</w:t>
      </w:r>
      <w:r>
        <w:rPr>
          <w:rFonts w:hint="eastAsia"/>
          <w:lang w:eastAsia="zh-CN"/>
        </w:rPr>
        <w:t>显示产品开发专家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2"/>
      <w:bookmarkEnd w:id="213"/>
      <w:bookmarkEnd w:id="214"/>
      <w:bookmarkEnd w:id="215"/>
      <w:bookmarkEnd w:id="216"/>
      <w:bookmarkEnd w:id="217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显示产品开发专家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主导超高清显示产品技术方案设计，定义显示性能指标及硬件架构；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攻克显示核心技术难题，如动态背光算法、色域映射、HDR画质优化及低功耗驱动设计；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负责显示模组开发，协同光学/结构/驱动IC团队完成样机制作与可靠性验证；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制定产品技术路线图，对接面板厂商及芯片供应商，管理供应链技术合作；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主导行业技术标准制定，构建专利壁垒，推动技术创新落地；</w:t>
            </w:r>
          </w:p>
          <w:p>
            <w:pPr>
              <w:pStyle w:val="16"/>
              <w:numPr>
                <w:ilvl w:val="0"/>
                <w:numId w:val="51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分析竞品技术方案，输出技术对标报告，支撑产品竞争力分析。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电子科学与工程类、光学、光学工程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  <w:rPr>
                <w:sz w:val="30"/>
                <w:szCs w:val="30"/>
              </w:rPr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2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具备深厚的超高清显示技术知识，熟悉显示产品开发流程，有较强的产品架构设计能力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hanging="425"/>
            </w:pPr>
            <w:r>
              <w:rPr>
                <w:rFonts w:hint="default"/>
              </w:rPr>
              <w:t>熟练掌握显示评价工具，具备色准ΔE&lt;1、1000nits峰值亮度等高端显示参数调试经验；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hanging="425"/>
              <w:rPr>
                <w:rFonts w:hint="default"/>
              </w:rPr>
            </w:pPr>
            <w:r>
              <w:t>熟悉面板工艺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hanging="425"/>
            </w:pPr>
            <w:r>
              <w:rPr>
                <w:rFonts w:hint="default"/>
              </w:rPr>
              <w:t>对新技术有敏锐的洞察力，具备新技术预研和创新应用的能力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2"/>
              </w:numPr>
              <w:bidi w:val="0"/>
              <w:ind w:left="425" w:hanging="425"/>
              <w:rPr>
                <w:rFonts w:hint="eastAsia" w:eastAsia="仿宋_GB2312"/>
                <w:szCs w:val="30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18" w:name="_Toc1527"/>
      <w:bookmarkStart w:id="219" w:name="_Toc27456"/>
      <w:bookmarkStart w:id="220" w:name="_Toc2390"/>
      <w:bookmarkStart w:id="221" w:name="_Toc32619"/>
      <w:bookmarkStart w:id="222" w:name="_Toc14652"/>
      <w:bookmarkStart w:id="223" w:name="_Toc5104"/>
      <w:r>
        <w:rPr>
          <w:rFonts w:hint="eastAsia"/>
          <w:lang w:val="en-US" w:eastAsia="zh-CN"/>
        </w:rPr>
        <w:t>27.</w:t>
      </w:r>
      <w:r>
        <w:rPr>
          <w:rFonts w:hint="eastAsia"/>
          <w:lang w:eastAsia="zh-CN"/>
        </w:rPr>
        <w:t>显示芯片设计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8"/>
      <w:bookmarkEnd w:id="219"/>
      <w:bookmarkEnd w:id="220"/>
      <w:bookmarkEnd w:id="221"/>
      <w:bookmarkEnd w:id="222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显示芯片设计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负责超高清显示芯片的架构设计与电路实现；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主导芯片数字电路设计，优化功耗、面积与性能平衡；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协同模拟/混合信号团队完成高速接口、高精度ADC/DAC的电路集成与验证；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制定芯片测试方案，覆盖功能、性能、可靠性，推动量产良率提升；</w:t>
            </w:r>
          </w:p>
          <w:p>
            <w:pPr>
              <w:pStyle w:val="16"/>
              <w:numPr>
                <w:ilvl w:val="0"/>
                <w:numId w:val="5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跟踪显示芯片技术趋势，主导前沿技术预研与IP核开发。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集成电路工程</w:t>
            </w:r>
            <w:r>
              <w:rPr>
                <w:rFonts w:hint="eastAsia" w:ascii="仿宋_GB2312"/>
              </w:rPr>
              <w:t>、集成电路科学与工程</w:t>
            </w:r>
            <w:r>
              <w:rPr>
                <w:rFonts w:hint="eastAsia"/>
                <w:lang w:eastAsia="zh-CN"/>
              </w:rPr>
              <w:t>、微电子学与固体电子学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精通Verilog/VHDL、逻辑综合、静态时序分析，熟悉低功耗设计、DFT；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深入理解显示时序控制原理，具备高速SerDes、PLL设计经验；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熟悉TSMC/SMIC等晶圆厂工艺库；</w:t>
            </w:r>
          </w:p>
          <w:p>
            <w:pPr>
              <w:pStyle w:val="16"/>
              <w:numPr>
                <w:ilvl w:val="0"/>
                <w:numId w:val="5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24" w:name="_Toc27527"/>
      <w:bookmarkStart w:id="225" w:name="_Toc20741"/>
      <w:bookmarkStart w:id="226" w:name="_Toc17608"/>
      <w:bookmarkStart w:id="227" w:name="_Toc2025"/>
      <w:bookmarkStart w:id="228" w:name="_Toc23049"/>
      <w:r>
        <w:rPr>
          <w:rFonts w:hint="eastAsia"/>
          <w:lang w:val="en-US" w:eastAsia="zh-CN"/>
        </w:rPr>
        <w:t>28.</w:t>
      </w:r>
      <w:r>
        <w:t>MEMS</w:t>
      </w:r>
      <w:r>
        <w:rPr>
          <w:rFonts w:hint="eastAsia"/>
          <w:lang w:eastAsia="zh-CN"/>
        </w:rPr>
        <w:t>设计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4"/>
      <w:bookmarkEnd w:id="225"/>
      <w:bookmarkEnd w:id="226"/>
      <w:bookmarkEnd w:id="227"/>
      <w:bookmarkEnd w:id="228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t>MEMS</w:t>
            </w:r>
            <w:r>
              <w:rPr>
                <w:rFonts w:hint="eastAsia"/>
                <w:lang w:eastAsia="zh-CN"/>
              </w:rPr>
              <w:t>设计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负责超高清显示相关MEMS器件的设计与开发，提升显示性能；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主导MEMS器件仿真、工艺设计及可靠性测试；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协同半导体代工厂优化制造流程，解决微纳加工中的良率、应力、驱动电压等关键问题；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结合显示系统需求，定义MEMS器件规格并推动量产落地；</w:t>
            </w:r>
          </w:p>
          <w:p>
            <w:pPr>
              <w:pStyle w:val="16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跟踪MEMS与显示融合技术趋势，主导前沿技术预研。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集成电路工程</w:t>
            </w:r>
            <w:r>
              <w:rPr>
                <w:rFonts w:hint="eastAsia" w:ascii="仿宋_GB2312"/>
              </w:rPr>
              <w:t>、集成电路科学与工程</w:t>
            </w:r>
            <w:r>
              <w:rPr>
                <w:rFonts w:hint="eastAsia"/>
                <w:lang w:eastAsia="zh-CN"/>
              </w:rPr>
              <w:t>、微电子学与固体电子学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精通MEMS设计工具，熟悉TSMC/SMIC等晶圆厂工艺规则；</w:t>
            </w:r>
          </w:p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主导过MEMS器件从设计到量产的全流程，具备失效分析与良率提升经验；</w:t>
            </w:r>
          </w:p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理解显示光学原理，擅长通过MEMS结构优化光学性能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6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29" w:name="_Toc15661"/>
      <w:bookmarkStart w:id="230" w:name="_Toc27277"/>
      <w:bookmarkStart w:id="231" w:name="_Toc30387"/>
      <w:bookmarkStart w:id="232" w:name="_Toc19316"/>
      <w:bookmarkStart w:id="233" w:name="_Toc14586"/>
      <w:bookmarkStart w:id="234" w:name="_Toc8149"/>
      <w:bookmarkStart w:id="235" w:name="_Toc6387"/>
      <w:bookmarkStart w:id="236" w:name="_Toc4752"/>
      <w:bookmarkStart w:id="237" w:name="_Toc4495"/>
      <w:r>
        <w:rPr>
          <w:rFonts w:hint="eastAsia"/>
          <w:lang w:val="en-US" w:eastAsia="zh-CN"/>
        </w:rPr>
        <w:t>29.超高清视频显示硬件专家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9"/>
      <w:bookmarkEnd w:id="230"/>
      <w:bookmarkEnd w:id="231"/>
      <w:bookmarkEnd w:id="232"/>
      <w:bookmarkEnd w:id="233"/>
      <w:bookmarkEnd w:id="234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超高清视频显示硬件专家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7"/>
              </w:numPr>
              <w:bidi w:val="0"/>
              <w:ind w:left="425" w:hanging="425"/>
            </w:pPr>
            <w:r>
              <w:rPr>
                <w:rFonts w:hint="default"/>
              </w:rPr>
              <w:t>负责超高清视频显示产品的硬件架构设计，主导电路原理图、PCB布局及信号完整性分析；</w:t>
            </w:r>
          </w:p>
          <w:p>
            <w:pPr>
              <w:pStyle w:val="16"/>
              <w:numPr>
                <w:ilvl w:val="0"/>
                <w:numId w:val="5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主导高速接口及高带宽芯片的硬件开发；</w:t>
            </w:r>
          </w:p>
          <w:p>
            <w:pPr>
              <w:pStyle w:val="16"/>
              <w:numPr>
                <w:ilvl w:val="0"/>
                <w:numId w:val="5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解决显示画质优化、EMC/EMI、功耗控制等关键技术问题；</w:t>
            </w:r>
          </w:p>
          <w:p>
            <w:pPr>
              <w:pStyle w:val="16"/>
              <w:numPr>
                <w:ilvl w:val="0"/>
                <w:numId w:val="5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协同驱动开发、光学团队完成整机调试，保障4K/8K显示效果与系统稳定性；</w:t>
            </w:r>
          </w:p>
          <w:p>
            <w:pPr>
              <w:pStyle w:val="16"/>
              <w:numPr>
                <w:ilvl w:val="0"/>
                <w:numId w:val="57"/>
              </w:numPr>
              <w:bidi w:val="0"/>
              <w:ind w:left="425" w:hanging="425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制定硬件测试规范，主导产品认证及量产导入。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电子科学与技术、通信工程、自动化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58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精通超高清视频显示硬件设计流程，具备扎实的模拟电路、数字电路基础，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有丰富的硬件开发经验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熟练使用 Altium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Designer 等硬件设计工具，能独立完成复杂硬件电路的设计与调试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ind w:left="425" w:hanging="425"/>
            </w:pPr>
            <w:r>
              <w:rPr>
                <w:rFonts w:hint="default"/>
              </w:rPr>
              <w:t>对超高清视频显示硬件技术有深入研究，具备敏锐的技术洞察力和创新能力，能快速掌握新技术并应用于产品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ind w:left="425" w:hanging="425"/>
              <w:rPr>
                <w:rFonts w:hint="default"/>
              </w:rPr>
            </w:pPr>
            <w:r>
              <w:t>具备良好的沟通协调能力、团队及项目管理能力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8"/>
              </w:numPr>
              <w:bidi w:val="0"/>
              <w:ind w:left="425" w:hanging="425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38" w:name="_Toc27610"/>
      <w:bookmarkStart w:id="239" w:name="_Toc10690"/>
      <w:bookmarkStart w:id="240" w:name="_Toc15232"/>
      <w:bookmarkStart w:id="241" w:name="_Toc23591"/>
      <w:bookmarkStart w:id="242" w:name="_Toc866"/>
      <w:bookmarkStart w:id="243" w:name="_Toc13647"/>
      <w:r>
        <w:rPr>
          <w:rFonts w:hint="eastAsia"/>
          <w:lang w:val="en-US" w:eastAsia="zh-CN"/>
        </w:rPr>
        <w:t>30.TFT器件专家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38"/>
      <w:bookmarkEnd w:id="239"/>
      <w:bookmarkEnd w:id="240"/>
      <w:bookmarkEnd w:id="241"/>
      <w:bookmarkEnd w:id="242"/>
      <w:bookmarkEnd w:id="24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TFT器件专家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负责TFT（薄膜晶体管）器件的结构设计与性能优化，制定器件技术方案并推动落地实施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参与TFT器件的制造与测试流程，确保产品符合高标准的质量要求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分析并解决TFT器件在设计与制造过程中的技术难题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跟踪TFT器件领域的最新进展，引入并应用新技术，保持技术领先性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5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与研发团队紧密合作，推动TFT器件技术的持续创新与应用。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材料科学与工程、电子科学与技术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精通TFT器件的工作原理、制造工艺及测试方法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具备扎实的半导体物理与材料科学基础，能够理解并解决复杂的TFT器件问题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0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44" w:name="_Toc3859"/>
      <w:bookmarkStart w:id="245" w:name="_Toc20091"/>
      <w:bookmarkStart w:id="246" w:name="_Toc23561"/>
      <w:bookmarkStart w:id="247" w:name="_Toc24741"/>
      <w:bookmarkStart w:id="248" w:name="_Toc20898"/>
      <w:bookmarkStart w:id="249" w:name="_Toc27997"/>
      <w:r>
        <w:rPr>
          <w:rFonts w:hint="eastAsia"/>
          <w:lang w:val="en-US" w:eastAsia="zh-CN"/>
        </w:rPr>
        <w:t>31.Mini背光专家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44"/>
      <w:bookmarkEnd w:id="245"/>
      <w:bookmarkEnd w:id="246"/>
      <w:bookmarkEnd w:id="247"/>
      <w:bookmarkEnd w:id="248"/>
      <w:bookmarkEnd w:id="24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Mini背光专家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研发和优化Mini背光技术，提升背光效果与画面质量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参与Mini背光技术的需求分析、方案设计、测试验证及量产导入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分析并解决Mini背光技术中的技术难题，提高产品的性能与可靠性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跟踪Mini背光技术的最新进展，引入并应用新技术，保持技术领先性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与研发团队紧密合作，推动Mini背光技术的持续创新与应用拓展。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光学、电子</w:t>
            </w:r>
            <w:r>
              <w:rPr>
                <w:rFonts w:hint="eastAsia"/>
                <w:lang w:eastAsia="zh-CN"/>
              </w:rPr>
              <w:t>科学与技术类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熟悉Mini背光技术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精通背光技术原理、光学设计及半导体知识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具备扎实的研发能力，能够独立解决背光技术中的复杂问题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50" w:name="_Toc2394"/>
      <w:bookmarkStart w:id="251" w:name="_Toc13424"/>
      <w:bookmarkStart w:id="252" w:name="_Toc19026"/>
      <w:bookmarkStart w:id="253" w:name="_Toc32320"/>
      <w:bookmarkStart w:id="254" w:name="_Toc28098"/>
      <w:bookmarkStart w:id="255" w:name="_Toc22203"/>
      <w:r>
        <w:rPr>
          <w:rFonts w:hint="eastAsia"/>
          <w:lang w:val="en-US" w:eastAsia="zh-CN"/>
        </w:rPr>
        <w:t>32.阵列设计专家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50"/>
      <w:bookmarkEnd w:id="251"/>
      <w:bookmarkEnd w:id="252"/>
      <w:bookmarkEnd w:id="253"/>
      <w:bookmarkEnd w:id="254"/>
      <w:bookmarkEnd w:id="255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阵列设计专家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t>负责高清视频显示产品的阵列架构设计，根据市场需求与技术趋势，制定合理的阵列设计方案，确保产品在分辨率、刷新率等关键指标上达到行业领先水平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t>主导阵列电路设计与优化，深入研究TFT（薄膜晶体管）等关键器件在阵列中的应用，提升电路性能，降低功耗，保障显示效果的稳定性与一致性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t>协同跨部门团队，包括工艺制程、产品测试等，将设计方案转化为实际产品，在产品开发过程中提供专业技术支持，及时解决设计与生产衔接过程中的问题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3"/>
              </w:numPr>
              <w:bidi w:val="0"/>
              <w:ind w:left="425" w:leftChars="0" w:hanging="425" w:firstLineChars="0"/>
            </w:pPr>
            <w:r>
              <w:t>跟进阵列设计领域的前沿技术，积极探索新的设计理念与方法，为公司产品创新提供技术储备。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微电子学与固体电子学、电子科学与技术类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4"/>
              </w:numPr>
              <w:bidi w:val="0"/>
              <w:ind w:left="425" w:leftChars="0" w:hanging="425" w:firstLineChars="0"/>
            </w:pPr>
            <w:r>
              <w:rPr>
                <w:lang w:val="en-US" w:eastAsia="zh-CN"/>
              </w:rPr>
              <w:t>熟悉高清视频显示产品的阵列设计流程，有成功的项目案例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ind w:left="425" w:leftChars="0" w:hanging="425" w:firstLineChars="0"/>
            </w:pPr>
            <w:r>
              <w:t>精通阵列架构与电路设计原理，熟练掌握相关设计软件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ind w:left="425" w:leftChars="0" w:hanging="425" w:firstLineChars="0"/>
            </w:pPr>
            <w:r>
              <w:t>对TFT等显示器件有深入了解，熟悉其在阵列中的性能表现与优化方法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4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56" w:name="_Toc9795"/>
      <w:bookmarkStart w:id="257" w:name="_Toc6547"/>
      <w:bookmarkStart w:id="258" w:name="_Toc5207"/>
      <w:bookmarkStart w:id="259" w:name="_Toc16617"/>
      <w:bookmarkStart w:id="260" w:name="_Toc21222"/>
      <w:bookmarkStart w:id="261" w:name="_Toc23330"/>
      <w:r>
        <w:rPr>
          <w:rFonts w:hint="eastAsia"/>
          <w:lang w:val="en-US" w:eastAsia="zh-CN"/>
        </w:rPr>
        <w:t>33.</w:t>
      </w:r>
      <w:r>
        <w:t>裸眼</w:t>
      </w:r>
      <w:r>
        <w:rPr>
          <w:rFonts w:hint="eastAsia"/>
          <w:lang w:val="en-US" w:eastAsia="zh-CN"/>
        </w:rPr>
        <w:t>3D显示光学设计专家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56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t>裸眼</w:t>
            </w:r>
            <w:r>
              <w:rPr>
                <w:rFonts w:hint="eastAsia"/>
                <w:lang w:val="en-US" w:eastAsia="zh-CN"/>
              </w:rPr>
              <w:t>3D显示光学设计专家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/>
              <w:rPr>
                <w:rFonts w:hint="default" w:eastAsia="仿宋_GB2312"/>
                <w:lang w:val="en-US" w:eastAsia="zh-CN"/>
              </w:rPr>
            </w:pPr>
            <w:r>
              <w:t>负责裸眼3D显示技术的光学系统设计与研发，包括光栅结构、透镜阵列等核心光学元件设计；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/>
              <w:rPr>
                <w:rFonts w:hint="default" w:eastAsia="仿宋_GB2312"/>
                <w:lang w:val="en-US" w:eastAsia="zh-CN"/>
              </w:rPr>
            </w:pPr>
            <w:r>
              <w:t>负责光学方案仿真、数据分析，样机验证及性能调优，确保FOV、串扰、亮度等关键指标达标；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/>
              <w:rPr>
                <w:rFonts w:hint="default" w:eastAsia="仿宋_GB2312"/>
                <w:lang w:val="en-US" w:eastAsia="zh-CN"/>
              </w:rPr>
            </w:pPr>
            <w:r>
              <w:t xml:space="preserve">主导裸眼3D光学模组的成像质量分析，解决光场均匀性、串扰、视点分布等技术难点； 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/>
              <w:rPr>
                <w:rFonts w:hint="default" w:eastAsia="仿宋_GB2312"/>
                <w:lang w:val="en-US" w:eastAsia="zh-CN"/>
              </w:rPr>
            </w:pPr>
            <w:r>
              <w:t>负责光学器件对准贴合的系统标定方法；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/>
              <w:rPr>
                <w:rFonts w:hint="default" w:eastAsia="仿宋_GB2312"/>
                <w:lang w:val="en-US" w:eastAsia="zh-CN"/>
              </w:rPr>
            </w:pPr>
            <w:r>
              <w:t>编写光学设计文档、测试标准及生产工艺指导文件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5"/>
              </w:numPr>
              <w:bidi w:val="0"/>
              <w:ind w:left="425" w:leftChars="0" w:hanging="425"/>
              <w:rPr>
                <w:rFonts w:hint="default" w:eastAsia="仿宋_GB2312"/>
                <w:lang w:val="en-US" w:eastAsia="zh-CN"/>
              </w:rPr>
            </w:pPr>
            <w:r>
              <w:t>跟踪光场显示、全息技术等前沿方向，输出技术分析报告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光学工程、精密仪器、电子科学与技术类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</w:pPr>
            <w:r>
              <w:t>精通几何光学，熟悉光栅衍射、透镜成像、视差原理、波动光学理论等；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</w:pPr>
            <w:r>
              <w:t xml:space="preserve">熟练使用至少一种光学设计仿真软件； 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</w:pPr>
            <w:r>
              <w:t xml:space="preserve">熟悉微结构光学元件的设计与加工工艺； 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</w:pPr>
            <w:r>
              <w:t>掌握光学材料特性数据库的工程化应用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6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62" w:name="_Toc12704"/>
      <w:r>
        <w:rPr>
          <w:rFonts w:hint="eastAsia"/>
          <w:lang w:val="en-US" w:eastAsia="zh-CN"/>
        </w:rPr>
        <w:t>34.</w:t>
      </w:r>
      <w:r>
        <w:rPr>
          <w:rFonts w:hint="eastAsia"/>
          <w:lang w:eastAsia="zh-CN"/>
        </w:rPr>
        <w:t>电子墨水研发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62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电子墨水研发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负责电子墨水显示技术研发，包括微胶囊/微杯结构优化、电场响应材料设计及色彩表现提升；</w:t>
            </w:r>
          </w:p>
          <w:p>
            <w:pPr>
              <w:pStyle w:val="16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主导显示层制备工艺开发，解决墨水均匀性、响应速度及对比度等关键问题；</w:t>
            </w:r>
          </w:p>
          <w:p>
            <w:pPr>
              <w:pStyle w:val="16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协同驱动电路团队优化刷新算法，提升显示动态效果；</w:t>
            </w:r>
          </w:p>
          <w:p>
            <w:pPr>
              <w:pStyle w:val="16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推进柔性/彩色电子墨水产业化，完成从实验室到量产的技术转化；</w:t>
            </w:r>
          </w:p>
          <w:p>
            <w:pPr>
              <w:pStyle w:val="16"/>
              <w:numPr>
                <w:ilvl w:val="0"/>
                <w:numId w:val="67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跟踪反射式显示技术前沿，布局专利并参与行业标准制定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材料学、微电子学与固体电子学、物理化学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6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精通微胶囊合成、表面改性及显示层涂布工艺；</w:t>
            </w:r>
          </w:p>
          <w:p>
            <w:pPr>
              <w:pStyle w:val="16"/>
              <w:numPr>
                <w:ilvl w:val="0"/>
                <w:numId w:val="6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熟练运用材料表征设备及仿真工具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8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63" w:name="_Toc2839"/>
      <w:r>
        <w:rPr>
          <w:rFonts w:hint="eastAsia"/>
          <w:lang w:val="en-US" w:eastAsia="zh-CN"/>
        </w:rPr>
        <w:t>35.超高清视频显示声学专家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57"/>
      <w:bookmarkEnd w:id="258"/>
      <w:bookmarkEnd w:id="259"/>
      <w:bookmarkEnd w:id="260"/>
      <w:bookmarkEnd w:id="261"/>
      <w:bookmarkEnd w:id="26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超高清视频显示声学专家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69"/>
              </w:numPr>
              <w:bidi w:val="0"/>
              <w:ind w:left="425" w:leftChars="0" w:hanging="425" w:firstLineChars="0"/>
            </w:pPr>
            <w:r>
              <w:t>主导声学系统的设计与研发，根据产品需求和用户体验标准，制定全面的声学解决方案，确保产品在音频质量上达到行业领先水平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ind w:left="425" w:leftChars="0" w:hanging="425" w:firstLineChars="0"/>
            </w:pPr>
            <w:r>
              <w:t>负责对音频设备进行选型与优化，深入研究扬声器、麦克风等硬件特性，结合声学算法，提升音频的清晰度、响度和环绕感等关键指标，满足高清视频场景下的复杂音频需求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ind w:left="425" w:leftChars="0" w:hanging="425" w:firstLineChars="0"/>
            </w:pPr>
            <w:r>
              <w:t>协同产品、硬件、软件等跨部门团队，从产品概念设计到量产，全程参与并提供专业声学支持，解决产品开发过程中的声学难题，保障产品顺利交付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69"/>
              </w:numPr>
              <w:bidi w:val="0"/>
              <w:ind w:left="425" w:leftChars="0" w:hanging="425" w:firstLineChars="0"/>
            </w:pPr>
            <w:r>
              <w:t>持续跟踪声学领域的前沿技术，积极引入新技术、新方法，对现有声学系统进行创新升级，提升产品竞争力。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声学</w:t>
            </w:r>
            <w:r>
              <w:rPr>
                <w:rFonts w:hint="eastAsia" w:ascii="仿宋_GB2312"/>
              </w:rPr>
              <w:t>、新一代电子信息技术</w:t>
            </w:r>
            <w:r>
              <w:rPr>
                <w:rFonts w:hint="default"/>
              </w:rPr>
              <w:t>（</w:t>
            </w:r>
            <w:r>
              <w:rPr>
                <w:rFonts w:hint="eastAsia" w:ascii="仿宋_GB2312"/>
              </w:rPr>
              <w:t>含量子技术等</w:t>
            </w:r>
            <w:r>
              <w:rPr>
                <w:rFonts w:hint="default"/>
              </w:rPr>
              <w:t>）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firstLineChars="0"/>
            </w:pPr>
            <w:r>
              <w:rPr>
                <w:rFonts w:hint="eastAsia"/>
                <w:lang w:val="en-US" w:eastAsia="zh-CN"/>
              </w:rPr>
              <w:t>具有丰富的</w:t>
            </w:r>
            <w:r>
              <w:rPr>
                <w:lang w:val="en-US" w:eastAsia="zh-CN"/>
              </w:rPr>
              <w:t>高清视频显示产品音频系统研发经验，具备成功的项目案例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firstLineChars="0"/>
            </w:pPr>
            <w:r>
              <w:t>精通声学原理和音频信号处理技术，熟练掌握声学测试设备和分析软件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64" w:name="_Toc8295"/>
      <w:bookmarkStart w:id="265" w:name="_Toc5548"/>
      <w:bookmarkStart w:id="266" w:name="_Toc1786"/>
      <w:bookmarkStart w:id="267" w:name="_Toc7839"/>
      <w:bookmarkStart w:id="268" w:name="_Toc20174"/>
      <w:bookmarkStart w:id="269" w:name="_Toc6232"/>
      <w:r>
        <w:rPr>
          <w:rFonts w:hint="eastAsia"/>
          <w:lang w:val="en-US" w:eastAsia="zh-CN"/>
        </w:rPr>
        <w:t>36.超高清视频显示散热专家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64"/>
      <w:bookmarkEnd w:id="265"/>
      <w:bookmarkEnd w:id="266"/>
      <w:bookmarkEnd w:id="267"/>
      <w:bookmarkEnd w:id="268"/>
      <w:bookmarkEnd w:id="26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</w:t>
            </w:r>
            <w:r>
              <w:rPr>
                <w:rFonts w:hint="eastAsia"/>
                <w:lang w:eastAsia="zh-CN"/>
              </w:rPr>
              <w:t>散热专家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依据超高清视频显示设备的性能需求与结构特点，设计高效、可靠的散热解决方案；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运用专业热模拟软件，对设计方案进行热模拟分析；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跟踪行业前沿散热技术，将其应用于超高清视频显示产品，提升产品散热性能；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制定并执行散热测试计划，对产品进行实际散热性能测试；</w:t>
            </w:r>
          </w:p>
          <w:p>
            <w:pPr>
              <w:pStyle w:val="16"/>
              <w:numPr>
                <w:ilvl w:val="0"/>
                <w:numId w:val="71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与研发团队协作，从散热角度为超高清视频显示产品的设计优化提供专业建议，确保产品在全生命周期内保持良好散热性能。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能源与动力工程、机械电子工程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精通热传导、对流、辐射等散热原理，能熟练运用其进行散热方案设计；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熟练掌握热模拟软件，具备准确的热分析能力；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熟悉各类散热材料特性，可合理选型应用；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掌握散热测试方法与设备，能够准确评估散热性能；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熟悉超高清视频显示设备工作原理与结构，能针对性开展散热设计；</w:t>
            </w:r>
          </w:p>
          <w:p>
            <w:pPr>
              <w:pStyle w:val="16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70" w:name="_Toc17716"/>
      <w:bookmarkStart w:id="271" w:name="_Toc10535"/>
      <w:bookmarkStart w:id="272" w:name="_Toc31734"/>
      <w:bookmarkStart w:id="273" w:name="_Toc31133"/>
      <w:r>
        <w:rPr>
          <w:rFonts w:hint="eastAsia"/>
          <w:lang w:val="en-US" w:eastAsia="zh-CN"/>
        </w:rPr>
        <w:t>37.</w:t>
      </w:r>
      <w:r>
        <w:rPr>
          <w:rFonts w:hint="eastAsia"/>
          <w:lang w:eastAsia="zh-CN"/>
        </w:rPr>
        <w:t>显示护眼技术专家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35"/>
      <w:bookmarkEnd w:id="236"/>
      <w:bookmarkEnd w:id="270"/>
      <w:bookmarkEnd w:id="271"/>
      <w:bookmarkEnd w:id="272"/>
      <w:bookmarkEnd w:id="27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显示护眼技术专家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研发和优化显示护眼技术，提升产品的视觉舒适度和护眼效果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参与护眼技术的需求分析、方案设计、测试验证及量产导入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跟踪护眼技术的最新进展，引入并应用新技术，保持技术领先性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与研发团队紧密合作，解决护眼技术实施中的技术难题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评估护眼技术的市场潜力，为产品规划和市场策略提供技术支持。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应用物理学</w:t>
            </w:r>
            <w: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精通显示技术原理、光学设计及人体工学知识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熟悉护眼技术的最新进展，具备独立研发和优化护眼技术的能力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4"/>
              </w:numPr>
              <w:bidi w:val="0"/>
              <w:ind w:left="425" w:leftChars="0" w:firstLineChars="0"/>
              <w:rPr>
                <w:rFonts w:hint="eastAsia" w:eastAsia="仿宋_GB2312"/>
                <w:szCs w:val="30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74" w:name="_Toc6400"/>
      <w:bookmarkStart w:id="275" w:name="_Toc26206"/>
      <w:bookmarkStart w:id="276" w:name="_Toc7922"/>
      <w:bookmarkStart w:id="277" w:name="_Toc18544"/>
      <w:bookmarkStart w:id="278" w:name="_Toc1447"/>
      <w:bookmarkStart w:id="279" w:name="_Toc26613"/>
      <w:bookmarkStart w:id="280" w:name="_Toc17817"/>
      <w:bookmarkStart w:id="281" w:name="_Toc15035"/>
      <w:r>
        <w:rPr>
          <w:rFonts w:hint="eastAsia"/>
          <w:lang w:val="en-US" w:eastAsia="zh-CN"/>
        </w:rPr>
        <w:t>38.超高清视频显示电子元器件专家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74"/>
      <w:bookmarkEnd w:id="275"/>
      <w:bookmarkEnd w:id="276"/>
      <w:bookmarkEnd w:id="277"/>
      <w:bookmarkEnd w:id="278"/>
      <w:bookmarkEnd w:id="27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超高清视频显示电子元器件专家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负责超高清视频显示产品中电子元器件的选型、测试与验证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分析产品需求，制定电子元器件的技术规格与采购标准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协同研发团队，解决电子元器件相关的技术难题，确保产品性能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跟踪电子元器件市场的最新动态，为公司提供采购策略与技术升级建议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优化电子元器件的库存管理，降低成本，提升供应链效率。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、通信</w:t>
            </w:r>
            <w:r>
              <w:rPr>
                <w:rFonts w:hint="eastAsia"/>
                <w:lang w:eastAsia="zh-CN"/>
              </w:rPr>
              <w:t>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6"/>
              </w:numPr>
              <w:bidi w:val="0"/>
            </w:pPr>
            <w:r>
              <w:rPr>
                <w:rFonts w:hint="default"/>
              </w:rPr>
              <w:t>对常用电子元器件有深入了解，熟悉其性能与应用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6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具备良好的供应商管理能力，熟悉电子元器件采购流程与质量管理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6"/>
              </w:numPr>
              <w:bidi w:val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280"/>
    <w:bookmarkEnd w:id="281"/>
    <w:p>
      <w:pPr>
        <w:pStyle w:val="4"/>
        <w:bidi w:val="0"/>
        <w:rPr>
          <w:rFonts w:hint="eastAsia"/>
        </w:rPr>
      </w:pPr>
      <w:bookmarkStart w:id="282" w:name="_Toc1743"/>
      <w:bookmarkStart w:id="283" w:name="_Toc27895"/>
      <w:bookmarkStart w:id="284" w:name="_Toc5976"/>
      <w:bookmarkStart w:id="285" w:name="_Toc19959"/>
      <w:bookmarkStart w:id="286" w:name="_Toc31483"/>
      <w:bookmarkStart w:id="287" w:name="_Toc744"/>
      <w:r>
        <w:rPr>
          <w:rFonts w:hint="eastAsia"/>
          <w:lang w:val="en-US" w:eastAsia="zh-CN"/>
        </w:rPr>
        <w:t>39.</w:t>
      </w:r>
      <w:r>
        <w:rPr>
          <w:rFonts w:hint="default"/>
        </w:rPr>
        <w:t>显示</w:t>
      </w:r>
      <w:r>
        <w:rPr>
          <w:rFonts w:hint="eastAsia"/>
          <w:lang w:val="en-US" w:eastAsia="zh-CN"/>
        </w:rPr>
        <w:t>产品结构专家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82"/>
      <w:bookmarkEnd w:id="283"/>
      <w:bookmarkEnd w:id="284"/>
      <w:bookmarkEnd w:id="285"/>
      <w:bookmarkEnd w:id="286"/>
      <w:bookmarkEnd w:id="287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/>
              </w:rPr>
              <w:t>显示</w:t>
            </w:r>
            <w:r>
              <w:rPr>
                <w:rFonts w:hint="eastAsia"/>
                <w:lang w:val="en-US" w:eastAsia="zh-CN"/>
              </w:rPr>
              <w:t>产品结构专家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7"/>
              </w:numPr>
              <w:bidi w:val="0"/>
            </w:pPr>
            <w:r>
              <w:rPr>
                <w:rFonts w:hint="default"/>
              </w:rPr>
              <w:t>设计并优化</w:t>
            </w:r>
            <w:r>
              <w:rPr>
                <w:rFonts w:hint="eastAsia"/>
                <w:lang w:eastAsia="zh-CN"/>
              </w:rPr>
              <w:t>超</w:t>
            </w:r>
            <w:r>
              <w:rPr>
                <w:rFonts w:hint="default"/>
              </w:rPr>
              <w:t>高清视频显示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default"/>
              </w:rPr>
              <w:t>的结构，提升器件性能与可靠性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参与器件结构的开发、验证与量产，确保满足高标准的产品要求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分析并解决器件结构中的技术难题，提高器件的良率与生产效率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跟踪显示器件结构领域的最新进展，引入并应用新技术，保持技术领先性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与研发团队紧密合作，推动器件结构的持续创新与应用拓展。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应用物理学、材料科学与工程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7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精通显示器件的工作原理、制造工艺及质量控制方法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具备扎实的半导体物理与光学基础，能够理解并解决复杂的器件结构问题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8"/>
              </w:numPr>
              <w:bidi w:val="0"/>
              <w:ind w:left="425" w:leftChars="0" w:firstLineChars="0"/>
              <w:rPr>
                <w:rFonts w:hint="eastAsia" w:eastAsia="仿宋_GB2312"/>
                <w:szCs w:val="30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bookmarkEnd w:id="223"/>
      <w:bookmarkEnd w:id="237"/>
    </w:tbl>
    <w:p>
      <w:pPr>
        <w:pStyle w:val="4"/>
        <w:bidi w:val="0"/>
        <w:rPr>
          <w:rFonts w:hint="eastAsia"/>
        </w:rPr>
      </w:pPr>
      <w:bookmarkStart w:id="288" w:name="_Toc4166"/>
      <w:bookmarkStart w:id="289" w:name="_Toc19039"/>
      <w:bookmarkStart w:id="290" w:name="_Toc7602"/>
      <w:bookmarkStart w:id="291" w:name="_Toc27461"/>
      <w:bookmarkStart w:id="292" w:name="_Toc26790"/>
      <w:bookmarkStart w:id="293" w:name="_Toc1885"/>
      <w:r>
        <w:rPr>
          <w:rFonts w:hint="eastAsia"/>
          <w:lang w:val="en-US" w:eastAsia="zh-CN"/>
        </w:rPr>
        <w:t>40.音频算法专家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88"/>
      <w:bookmarkEnd w:id="289"/>
      <w:bookmarkEnd w:id="290"/>
      <w:bookmarkEnd w:id="291"/>
      <w:bookmarkEnd w:id="292"/>
      <w:bookmarkEnd w:id="29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音频算法专家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设计音频增强、降噪、空间音频等核心算法，提升音质与沉浸感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针对不同硬件平台，优化音频算法，确保高效能与低功耗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探索并应用最新的音频处理技术与机器学习算法，推动音频技术革新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确保音频算法符合国际音频处理标准，参与相关认证流程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与软硬件研发团队紧密合作，确保音频算法在超高清视频显示产品中的完美集成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独立分析并解决音频处理中的复杂问题，确保产品音质卓越。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计算机科学与技术、电子信息工程、通信工程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熟悉音频信号处理流程与工具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精通数字信号处理原理，</w:t>
            </w:r>
            <w:r>
              <w:rPr>
                <w:rFonts w:hint="eastAsia"/>
                <w:lang w:eastAsia="zh-CN"/>
              </w:rPr>
              <w:t>拥</w:t>
            </w:r>
            <w:r>
              <w:rPr>
                <w:rFonts w:hint="default"/>
              </w:rPr>
              <w:t>有音频编码、解码技术经验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强大的编程能力，熟悉C/C++、Python等编程语言，能够独立完成算法实现与优化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对音频质量有敏锐的感知力，追求卓越音质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94" w:name="_Toc26922"/>
      <w:bookmarkStart w:id="295" w:name="_Toc30787"/>
      <w:bookmarkStart w:id="296" w:name="_Toc27018"/>
      <w:bookmarkStart w:id="297" w:name="_Toc10396"/>
      <w:bookmarkStart w:id="298" w:name="_Toc17811"/>
      <w:bookmarkStart w:id="299" w:name="_Toc2155"/>
      <w:r>
        <w:rPr>
          <w:rFonts w:hint="eastAsia"/>
          <w:lang w:val="en-US" w:eastAsia="zh-CN"/>
        </w:rPr>
        <w:t>41.视频算法专家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94"/>
      <w:bookmarkEnd w:id="295"/>
      <w:bookmarkEnd w:id="296"/>
      <w:bookmarkEnd w:id="297"/>
      <w:bookmarkEnd w:id="298"/>
      <w:bookmarkEnd w:id="29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视频算法专家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研发和优化视频处理算法，提升高清视频显示质量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分析并解决视频处理过程中的技术难题，确保算法的高效与稳定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跟踪视频算法领域的最新进展，引入并应用新技术，保持技术领先性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与研发团队紧密合作，确保算法的有效实施与持续优化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参与视频算法相关的培训与知识分享，提升团队整体技术水平。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计算机技术、人工智能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精通视频编码标准及视频后处理技术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具备扎实的数学与统计学基础，能够熟练运用各种算法优化工具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00" w:name="_Toc11243"/>
      <w:bookmarkStart w:id="301" w:name="_Toc31352"/>
      <w:bookmarkStart w:id="302" w:name="_Toc22204"/>
      <w:bookmarkStart w:id="303" w:name="_Toc27189"/>
      <w:bookmarkStart w:id="304" w:name="_Toc12456"/>
      <w:bookmarkStart w:id="305" w:name="_Toc21361"/>
      <w:r>
        <w:rPr>
          <w:rFonts w:hint="eastAsia"/>
          <w:lang w:val="en-US" w:eastAsia="zh-CN"/>
        </w:rPr>
        <w:t>42.图像算法专家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00"/>
      <w:bookmarkEnd w:id="301"/>
      <w:bookmarkEnd w:id="302"/>
      <w:bookmarkEnd w:id="303"/>
      <w:bookmarkEnd w:id="304"/>
      <w:bookmarkEnd w:id="305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图像算法专家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开发先进的图像算法，提升图像质量与视觉效果；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对现有图像算法进行优化，降低计算资源消耗，同时负责算法在实际产品中的集成与实现；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解决超高清视频图像算法应用过程中的复杂技术问题，保障产品性能；</w:t>
            </w:r>
          </w:p>
          <w:p>
            <w:pPr>
              <w:pStyle w:val="16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建立算法评估体系，运用专业方法评估算法性能，依据评估结果持续改进算法，确保算法处于行业领先水平。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计算机技术、电子科学与技术类、应用数学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4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精通图像处理与分析算法，熟练掌握数字图像处理基础理论；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深入理解机器学习、深度学习算法在图像领域的应用；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熟练使用主流编程语言，以及常用图像算法开发工具与框架；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熟悉超高清视频显示技术，熟悉视频编解码、显示设备特性，便于算法与实际应用结合；</w:t>
            </w:r>
          </w:p>
          <w:p>
            <w:pPr>
              <w:pStyle w:val="16"/>
              <w:numPr>
                <w:ilvl w:val="0"/>
                <w:numId w:val="8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06" w:name="_Toc9679"/>
      <w:bookmarkStart w:id="307" w:name="_Toc17757"/>
      <w:bookmarkStart w:id="308" w:name="_Toc25072"/>
      <w:bookmarkStart w:id="309" w:name="_Toc7472"/>
      <w:bookmarkStart w:id="310" w:name="_Toc14389"/>
      <w:bookmarkStart w:id="311" w:name="_Toc1804"/>
      <w:r>
        <w:rPr>
          <w:rFonts w:hint="eastAsia"/>
          <w:lang w:val="en-US" w:eastAsia="zh-CN"/>
        </w:rPr>
        <w:t>43.</w:t>
      </w:r>
      <w:r>
        <w:rPr>
          <w:rFonts w:hint="eastAsia"/>
          <w:lang w:eastAsia="zh-CN"/>
        </w:rPr>
        <w:t>显示效果</w:t>
      </w:r>
      <w: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06"/>
      <w:bookmarkEnd w:id="307"/>
      <w:bookmarkEnd w:id="308"/>
      <w:bookmarkEnd w:id="309"/>
      <w:bookmarkEnd w:id="310"/>
      <w:bookmarkEnd w:id="311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显示效果</w:t>
            </w:r>
            <w: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5"/>
              </w:numPr>
              <w:bidi w:val="0"/>
            </w:pPr>
            <w:r>
              <w:rPr>
                <w:rFonts w:hint="default"/>
              </w:rPr>
              <w:t>深入分析高清视频显示的性能指标，提出并实施显示效果优化方案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监控显示效果，确保产品符合高标准的质量要求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负责显示设备的光学系统设计，优化亮度均匀性、对比度、色域覆盖等光学指标；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主导光学材料选型与测试，平衡显示效果与功耗、成本；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跟踪显示效果领域的最新技术动态，引入并应用新技术，保持公司产品的竞争力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5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参与显示效果相关的培训与知识分享，提升团队整体技术水平。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电子科学与技术类、物理电子学、光学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6"/>
              </w:numPr>
              <w:bidi w:val="0"/>
              <w:ind w:left="425" w:hanging="425"/>
            </w:pPr>
            <w:r>
              <w:rPr>
                <w:rFonts w:hint="default"/>
              </w:rPr>
              <w:t>精通高清视频显示的工作原理与显示效果评估方法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ind w:left="425" w:hanging="425"/>
            </w:pPr>
            <w:r>
              <w:t>精通ISP图像处理、色彩管理、HDR技术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ind w:left="425" w:hanging="425"/>
              <w:rPr>
                <w:rFonts w:hint="default"/>
              </w:rPr>
            </w:pPr>
            <w:r>
              <w:t xml:space="preserve">了解颜色模型，了解CIE色彩体系，熟练使用光谱分析仪； 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ind w:left="425" w:hanging="425"/>
              <w:rPr>
                <w:rFonts w:hint="default"/>
              </w:rPr>
            </w:pPr>
            <w:r>
              <w:t>了解各种显示效果调校算法的原理；</w:t>
            </w:r>
          </w:p>
          <w:p>
            <w:pPr>
              <w:pStyle w:val="16"/>
              <w:numPr>
                <w:ilvl w:val="0"/>
                <w:numId w:val="86"/>
              </w:numPr>
              <w:bidi w:val="0"/>
              <w:ind w:left="425" w:hanging="425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12" w:name="_Toc25703"/>
      <w:bookmarkStart w:id="313" w:name="_Toc26116"/>
      <w:bookmarkStart w:id="314" w:name="_Toc12995"/>
      <w:bookmarkStart w:id="315" w:name="_Toc14561"/>
      <w:bookmarkStart w:id="316" w:name="_Toc27485"/>
      <w:bookmarkStart w:id="317" w:name="_Toc24549"/>
      <w:r>
        <w:rPr>
          <w:rFonts w:hint="eastAsia"/>
          <w:lang w:val="en-US" w:eastAsia="zh-CN"/>
        </w:rPr>
        <w:t>44.流媒体开发专家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12"/>
      <w:bookmarkEnd w:id="313"/>
      <w:bookmarkEnd w:id="314"/>
      <w:bookmarkEnd w:id="315"/>
      <w:bookmarkEnd w:id="316"/>
      <w:bookmarkEnd w:id="317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流媒体开发专家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主导超高清视频流媒体系统架构设计；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优化视频编解码链路，实现低延迟、高压缩率与抗弱网能力；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开发多平台流媒体播放引擎，解决音画同步、动态元数据注入、分辨率自适应等核心技术难题；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协同显示算法团队集成AI画质增强技术，提升终端显示效果；</w:t>
            </w:r>
          </w:p>
          <w:p>
            <w:pPr>
              <w:pStyle w:val="16"/>
              <w:numPr>
                <w:ilvl w:val="0"/>
                <w:numId w:val="8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跟踪流媒体前沿技术，主导低功耗编码、分布式渲染等创新方案落地。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计算机科学与技术、电子信息工程、通信工程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Rust开发，熟悉FFmpeg、GStreamer框架及编解码标准；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具备低延迟传输、DRM加密实战经验；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深度理解显示产业链，擅长通过流媒体优化弥补硬件限制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8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18" w:name="_Toc27173"/>
      <w:bookmarkStart w:id="319" w:name="_Toc9379"/>
      <w:bookmarkStart w:id="320" w:name="_Toc15905"/>
      <w:bookmarkStart w:id="321" w:name="_Toc27381"/>
      <w:bookmarkStart w:id="322" w:name="_Toc12990"/>
      <w:bookmarkStart w:id="323" w:name="_Toc18865"/>
      <w:bookmarkStart w:id="324" w:name="_Toc23971"/>
      <w:r>
        <w:rPr>
          <w:rFonts w:hint="eastAsia"/>
          <w:lang w:val="en-US" w:eastAsia="zh-CN"/>
        </w:rPr>
        <w:t>45.超高清视频显示渲染开发专家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18"/>
      <w:bookmarkEnd w:id="319"/>
      <w:bookmarkEnd w:id="320"/>
      <w:bookmarkEnd w:id="321"/>
      <w:bookmarkEnd w:id="322"/>
      <w:bookmarkEnd w:id="32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超高清视频显示渲染开发专家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t>负责超高清视频显示</w:t>
            </w:r>
            <w:r>
              <w:rPr>
                <w:rFonts w:hint="eastAsia"/>
                <w:lang w:eastAsia="zh-CN"/>
              </w:rPr>
              <w:t>产品</w:t>
            </w:r>
            <w:r>
              <w:t>的实时渲染引擎开发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t>主导高保真渲染技术研发，包括基于物理的渲染、全局光照、动态阴影、抗锯齿等核心算法实现与硬件适配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设计音视频与图形渲染的一体化解决方案，实现8K视频解码与3D图形渲染的高效协同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针对不同硬件架构进行渲染性能调优，运用延迟渲染、异步计算、动态分辨率缩放等技术降低资源消耗，同时优化内存带宽与显存占用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89"/>
              </w:numPr>
              <w:bidi w:val="0"/>
              <w:ind w:left="425" w:left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跟踪光线追踪、神经辐射场、实时全局光照等前沿技术，主导超高清显示场景下的渲染技术创新，负责技术原型验证与落地规划。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计算机科学与技术、电子信息工程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OpenGL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Vulkan开发，熟悉渲染管线优化、多线程并行计算；</w:t>
            </w:r>
          </w:p>
          <w:p>
            <w:pPr>
              <w:pStyle w:val="16"/>
              <w:keepNext w:val="0"/>
              <w:keepLines w:val="0"/>
              <w:widowControl/>
              <w:numPr>
                <w:ilvl w:val="0"/>
                <w:numId w:val="90"/>
              </w:numPr>
              <w:suppressLineNumbers w:val="0"/>
              <w:ind w:left="425" w:hanging="425"/>
              <w:jc w:val="left"/>
            </w:pPr>
            <w:r>
              <w:rPr>
                <w:lang w:val="en-US" w:eastAsia="zh-CN"/>
              </w:rPr>
              <w:t>熟悉UE5的核心功能和最新特性；</w:t>
            </w:r>
          </w:p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firstLineChars="0"/>
            </w:pPr>
            <w:r>
              <w:rPr>
                <w:lang w:val="en-US" w:eastAsia="zh-CN"/>
              </w:rPr>
              <w:t>熟悉实时渲染技术、光照模型、材质制作等；</w:t>
            </w:r>
          </w:p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具备3D图形学、空间音频实战经验；</w:t>
            </w:r>
          </w:p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深度理解显示产业链，擅长通过渲染优化弥补硬件限制；</w:t>
            </w:r>
          </w:p>
          <w:p>
            <w:pPr>
              <w:pStyle w:val="16"/>
              <w:numPr>
                <w:ilvl w:val="0"/>
                <w:numId w:val="9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324"/>
    </w:tbl>
    <w:p>
      <w:pPr>
        <w:pStyle w:val="4"/>
        <w:bidi w:val="0"/>
        <w:rPr>
          <w:rFonts w:hint="eastAsia"/>
        </w:rPr>
      </w:pPr>
      <w:bookmarkStart w:id="325" w:name="_Toc7459"/>
      <w:bookmarkStart w:id="326" w:name="_Toc30817"/>
      <w:bookmarkStart w:id="327" w:name="_Toc13137"/>
      <w:bookmarkStart w:id="328" w:name="_Toc3466"/>
      <w:bookmarkStart w:id="329" w:name="_Toc7389"/>
      <w:bookmarkStart w:id="330" w:name="_Toc13726"/>
      <w:bookmarkStart w:id="331" w:name="_Toc509"/>
      <w:r>
        <w:rPr>
          <w:rFonts w:hint="eastAsia"/>
          <w:lang w:val="en-US" w:eastAsia="zh-CN"/>
        </w:rPr>
        <w:t>46.音视频解决方案架构师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25"/>
      <w:bookmarkEnd w:id="326"/>
      <w:bookmarkEnd w:id="327"/>
      <w:bookmarkEnd w:id="328"/>
      <w:bookmarkEnd w:id="329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音视频解决方案架构师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主导超高清音视频系统的整体架构设计，满足高分辨率、低延迟场景下的音视频同步需求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研究行业前沿技术，推动音视频系统的技术升级与创新，优化动态码率适配及多平台兼容性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协同硬件、软件团队完成音视频系统集成，解决系统级联调问题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跟踪国内外音视频标准，参与行业标准制定，确保产品符合法规要求并提升企业行业话语权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分析音视频系统性能瓶颈，设计优化方案，联合测试团队验证方案可行性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1"/>
              </w:numPr>
              <w:bidi w:val="0"/>
              <w:ind w:left="425" w:left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撰写系统架构设计文档，建立标准化设计流程，为生产、售后提供技术支持，并推动专利布局。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 w:ascii="仿宋_GB2312"/>
              </w:rPr>
              <w:t>通信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 w:ascii="仿宋_GB2312"/>
              </w:rPr>
              <w:t>、电子信息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主导过超高清音视频产品的系统架构设计，熟悉编码标准及流媒体协议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熟练使用FFmpeg、GStreamer等工具进行音视频处理开发，掌握 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 仿真优化，具备 VLC、Stagefright 等框架开发经验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熟悉国内外音视频标准，持有音视频系统工程师证书或HDMI认证工程师资质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具备跨部门协作能力，能与硬件、算法团队紧密配合完成产品开发；</w:t>
            </w:r>
          </w:p>
          <w:p>
            <w:pPr>
              <w:pStyle w:val="16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pStyle w:val="4"/>
        <w:bidi w:val="0"/>
        <w:rPr>
          <w:rFonts w:hint="eastAsia"/>
        </w:rPr>
      </w:pPr>
      <w:bookmarkStart w:id="332" w:name="_Toc30059"/>
      <w:bookmarkStart w:id="333" w:name="_Toc11414"/>
      <w:bookmarkStart w:id="334" w:name="_Toc18561"/>
      <w:bookmarkStart w:id="335" w:name="_Toc1550"/>
      <w:r>
        <w:rPr>
          <w:rFonts w:hint="eastAsia"/>
          <w:lang w:val="en-US" w:eastAsia="zh-CN"/>
        </w:rPr>
        <w:t>47.</w:t>
      </w:r>
      <w:r>
        <w:t>显示控制系统专家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30"/>
      <w:bookmarkEnd w:id="331"/>
      <w:bookmarkEnd w:id="332"/>
      <w:bookmarkEnd w:id="333"/>
      <w:bookmarkEnd w:id="334"/>
      <w:bookmarkEnd w:id="335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default" w:eastAsia="仿宋_GB2312"/>
                <w:lang w:val="en-US" w:eastAsia="zh-CN"/>
              </w:rPr>
            </w:pPr>
            <w:r>
              <w:t>显示控制系统专家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负责显示控制系统的设计与优化，确保系统的高性能与稳定性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参与需求分析，制定显示控制系统的技术规格与实施方案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协同研发团队，进行系统开发与集成，确保满足客户需求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对显示控制系统进行持续的性能监控与优化，提升用户体验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跟踪显示控制技术的最新趋势，为公司提供技术创新与升级建议。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eastAsia="zh-CN"/>
              </w:rPr>
              <w:t>计算机科学与技术</w:t>
            </w:r>
            <w:r>
              <w:t>、电子</w:t>
            </w:r>
            <w:r>
              <w:rPr>
                <w:rFonts w:hint="eastAsia"/>
                <w:lang w:eastAsia="zh-CN"/>
              </w:rPr>
              <w:t>信息工程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熟悉超高清视频显示技术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精通C/C++、Java等编程语言，熟悉嵌入式系统开发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对显示驱动、图像处理、色彩管理等有深入理解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36" w:name="_Toc19072"/>
      <w:bookmarkStart w:id="337" w:name="_Toc9561"/>
      <w:bookmarkStart w:id="338" w:name="_Toc24484"/>
      <w:bookmarkStart w:id="339" w:name="_Toc4011"/>
      <w:bookmarkStart w:id="340" w:name="_Toc5050"/>
      <w:bookmarkStart w:id="341" w:name="_Toc11591"/>
      <w:r>
        <w:rPr>
          <w:rFonts w:hint="eastAsia"/>
          <w:lang w:val="en-US" w:eastAsia="zh-CN"/>
        </w:rPr>
        <w:t>48.视频云平台架构师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36"/>
      <w:bookmarkEnd w:id="337"/>
      <w:bookmarkEnd w:id="338"/>
      <w:bookmarkEnd w:id="339"/>
      <w:bookmarkEnd w:id="340"/>
      <w:bookmarkEnd w:id="341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视频云平台架构师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负责视频云平台整体架构设计，涵盖视频采集、编码、传输、存储、分发及播放全链路，确保系统高可用、高性能、可扩展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主导技术选型，评估并引入适合视频云业务的新技术、新框架，提升平台竞争力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研发AI画质增强中台，优化云边端协同推理架构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制定平台技术规范与标准，保障代码质量与系统稳定性，推动开发团队遵循最佳实践进行开发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协同产品、运维团队，参与产品需求分析与系统规划，提供技术可行性方案，解决项目中的技术难题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关注行业技术动态，进行技术预研与储备，为平台长期发展提供技术支撑。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计算机科学与技术、软件工程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7"/>
              <w:rPr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6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0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精通视频编解码、流媒体传输协议，熟悉CDN加速技术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熟练掌握主流编程语言，具备扎实的系统设计能力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有大型分布式系统、高并发场景架构设计经验，熟悉云计算、容器化技术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eastAsia" w:eastAsia="仿宋_GB2312"/>
                <w:szCs w:val="30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342" w:name="_Toc20678"/>
      <w:bookmarkStart w:id="343" w:name="_Toc11625"/>
      <w:bookmarkStart w:id="344" w:name="_Toc12267"/>
      <w:bookmarkStart w:id="345" w:name="_Toc22792"/>
      <w:r>
        <w:rPr>
          <w:rFonts w:hint="eastAsia"/>
          <w:lang w:val="en-US" w:eastAsia="zh-CN"/>
        </w:rPr>
        <w:br w:type="page"/>
      </w:r>
    </w:p>
    <w:bookmarkEnd w:id="342"/>
    <w:bookmarkEnd w:id="343"/>
    <w:bookmarkEnd w:id="344"/>
    <w:bookmarkEnd w:id="345"/>
    <w:p>
      <w:pPr>
        <w:pStyle w:val="4"/>
        <w:bidi w:val="0"/>
        <w:rPr>
          <w:rFonts w:hint="eastAsia"/>
        </w:rPr>
      </w:pPr>
      <w:bookmarkStart w:id="346" w:name="_Toc11932"/>
      <w:bookmarkStart w:id="347" w:name="_Toc10484"/>
      <w:bookmarkStart w:id="348" w:name="_Toc17929"/>
      <w:bookmarkStart w:id="349" w:name="_Toc21130"/>
      <w:bookmarkStart w:id="350" w:name="_Toc29093"/>
      <w:bookmarkStart w:id="351" w:name="_Toc24196"/>
      <w:bookmarkStart w:id="352" w:name="_Toc4946"/>
      <w:bookmarkStart w:id="353" w:name="_Toc21457"/>
      <w:bookmarkStart w:id="354" w:name="_Toc15240"/>
      <w:bookmarkStart w:id="355" w:name="_Toc17459"/>
      <w:bookmarkStart w:id="356" w:name="_Toc8865"/>
      <w:r>
        <w:rPr>
          <w:rFonts w:hint="eastAsia"/>
          <w:lang w:val="en-US" w:eastAsia="zh-CN"/>
        </w:rPr>
        <w:t>49</w:t>
      </w:r>
      <w:r>
        <w:rPr>
          <w:rFonts w:hint="eastAsia"/>
        </w:rPr>
        <w:t>.</w:t>
      </w:r>
      <w:r>
        <w:rPr>
          <w:rFonts w:hint="eastAsia"/>
          <w:lang w:eastAsia="zh-CN"/>
        </w:rPr>
        <w:t>超高清视频显示</w:t>
      </w:r>
      <w:r>
        <w:rPr>
          <w:rFonts w:hint="eastAsia"/>
          <w:lang w:val="en-US" w:eastAsia="zh-CN"/>
        </w:rPr>
        <w:t>AI应用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46"/>
      <w:bookmarkEnd w:id="347"/>
      <w:bookmarkEnd w:id="348"/>
      <w:bookmarkEnd w:id="349"/>
      <w:bookmarkEnd w:id="350"/>
      <w:bookmarkEnd w:id="351"/>
      <w:bookmarkEnd w:id="352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超高清视频显示</w:t>
            </w:r>
            <w:r>
              <w:rPr>
                <w:rFonts w:hint="eastAsia"/>
                <w:lang w:val="en-US" w:eastAsia="zh-CN"/>
              </w:rPr>
              <w:t>AI应用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7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针对超高清视频显示产业需求，设计并规划AI应用解决方案，制定A</w:t>
            </w:r>
            <w:r>
              <w:rPr>
                <w:rFonts w:hint="default"/>
              </w:rPr>
              <w:t>I</w:t>
            </w:r>
            <w:r>
              <w:rPr>
                <w:rFonts w:hint="eastAsia"/>
              </w:rPr>
              <w:t>技术在视频显示领域的应用策略与发展路线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负责AI模型在超高清视频显示场景中的优化与部署，提升模型运行效率和应用效果，满足产品性能要求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探索AI前沿技术在超高清视频显示中的创新应用，如智能画质增强、视频内容理解与生成等，推动产品差异化发展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hanging="425"/>
              <w:rPr>
                <w:rFonts w:hint="eastAsia"/>
              </w:rPr>
            </w:pPr>
            <w:r>
              <w:rPr>
                <w:rFonts w:hint="eastAsia"/>
              </w:rPr>
              <w:t>协同算法、硬件、软件等团队，完成AI应用与超高清视频显示系统的深度融合，解决跨领域技术协同问题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7"/>
              </w:numPr>
              <w:bidi w:val="0"/>
              <w:ind w:left="425" w:hanging="425"/>
              <w:rPr>
                <w:rFonts w:ascii="Times New Roman" w:hAnsi="Times New Roman"/>
              </w:rPr>
            </w:pPr>
            <w:r>
              <w:rPr>
                <w:rFonts w:hint="eastAsia"/>
              </w:rPr>
              <w:t>对AI应用效果进行数据监测与分析，持续优化迭代应用方案，提升用户体验和产品竞争力。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ascii="Times New Roman" w:hAnsi="Times New Roman"/>
              </w:rPr>
            </w:pPr>
            <w:r>
              <w:rPr>
                <w:rFonts w:hint="eastAsia"/>
                <w:kern w:val="2"/>
                <w:lang w:val="en-US" w:eastAsia="zh-CN"/>
              </w:rPr>
              <w:t>50</w:t>
            </w:r>
            <w:r>
              <w:rPr>
                <w:rFonts w:ascii="仿宋_GB2312" w:hAnsi="仿宋_GB2312"/>
                <w:kern w:val="2"/>
              </w:rPr>
              <w:t>万元及</w:t>
            </w:r>
            <w:r>
              <w:rPr>
                <w:rFonts w:ascii="Times New Roman" w:hAnsi="Times New Roma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本科</w:t>
            </w:r>
            <w:r>
              <w:rPr>
                <w:rFonts w:ascii="Times New Roman" w:hAnsi="Times New Roma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计算机科学与技术、软件工程、人工智能</w:t>
            </w:r>
            <w:r>
              <w:rPr>
                <w:rFonts w:ascii="Times New Roman" w:hAnsi="Times New Roma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相关企</w:t>
            </w:r>
            <w:r>
              <w:rPr>
                <w:rFonts w:ascii="仿宋_GB2312" w:hAnsi="仿宋_GB2312"/>
                <w:kern w:val="2"/>
              </w:rPr>
              <w:t>业</w:t>
            </w:r>
            <w:r>
              <w:rPr>
                <w:rFonts w:hint="eastAsia" w:ascii="仿宋_GB2312" w:hAnsi="仿宋_GB2312"/>
                <w:kern w:val="2"/>
                <w:lang w:val="en-US" w:eastAsia="zh-CN"/>
              </w:rPr>
              <w:t>8</w:t>
            </w:r>
            <w:r>
              <w:rPr>
                <w:rFonts w:ascii="仿宋_GB2312" w:hAnsi="仿宋_GB2312"/>
                <w:kern w:val="2"/>
              </w:rPr>
              <w:t>年及以上</w:t>
            </w:r>
            <w:r>
              <w:rPr>
                <w:rFonts w:ascii="Times New Roman" w:hAnsi="Times New Roman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bidi w:val="0"/>
              <w:rPr>
                <w:rFonts w:ascii="Times New Roman" w:hAnsi="Times New Roman"/>
              </w:rPr>
            </w:pPr>
            <w:r>
              <w:rPr>
                <w:rFonts w:hint="eastAsia" w:ascii="仿宋_GB2312" w:hAnsi="仿宋_GB2312"/>
                <w:kern w:val="2"/>
                <w:lang w:val="en-US" w:eastAsia="zh-CN"/>
              </w:rPr>
              <w:t>8</w:t>
            </w:r>
            <w:r>
              <w:rPr>
                <w:rFonts w:ascii="仿宋_GB2312" w:hAnsi="仿宋_GB2312"/>
                <w:kern w:val="2"/>
              </w:rPr>
              <w:t>年及以上</w:t>
            </w:r>
            <w:r>
              <w:rPr>
                <w:rFonts w:ascii="Times New Roman" w:hAnsi="Times New Roman"/>
              </w:rPr>
              <w:t>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98"/>
              </w:numPr>
              <w:bidi w:val="0"/>
              <w:ind w:left="425" w:hanging="425"/>
            </w:pPr>
            <w:r>
              <w:t>熟练掌握Python、C++等编程语言，熟悉TensorFlow</w:t>
            </w:r>
            <w:r>
              <w:rPr>
                <w:rFonts w:hint="eastAsia"/>
                <w:lang w:eastAsia="zh-CN"/>
              </w:rPr>
              <w:t>、</w:t>
            </w:r>
            <w:r>
              <w:t>PyTorch等深度学习框架；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hanging="425"/>
            </w:pPr>
            <w:r>
              <w:t>熟悉常用的AI工具、AI算法和模型，深入了解大模型相关技术，熟悉DeepSeek、ChatGPT等行业内热门大语言模型，并能够根据项目需求灵活运用；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hanging="425"/>
            </w:pPr>
            <w:r>
              <w:t>具备机器学习、计算机视觉、时序数据分析等AI技术经验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8"/>
              </w:numPr>
              <w:bidi w:val="0"/>
              <w:ind w:left="425" w:hanging="425"/>
              <w:rPr>
                <w:rFonts w:ascii="Times New Roman" w:hAnsi="Times New Roman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357" w:name="_Toc11162"/>
      <w:bookmarkStart w:id="358" w:name="_Toc10209"/>
      <w:bookmarkStart w:id="359" w:name="_Toc28845"/>
      <w:bookmarkStart w:id="360" w:name="_Toc1338"/>
      <w:r>
        <w:rPr>
          <w:rFonts w:hint="eastAsia"/>
          <w:lang w:val="en-US" w:eastAsia="zh-CN"/>
        </w:rPr>
        <w:t>50.超高清视频显示仿真专家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53"/>
      <w:bookmarkEnd w:id="354"/>
      <w:bookmarkEnd w:id="357"/>
      <w:bookmarkEnd w:id="358"/>
      <w:bookmarkEnd w:id="359"/>
      <w:bookmarkEnd w:id="36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超高清视频显示仿真专家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99"/>
              </w:numPr>
              <w:bidi w:val="0"/>
            </w:pPr>
            <w:r>
              <w:rPr>
                <w:rFonts w:hint="default"/>
              </w:rPr>
              <w:t>基于物理原理，构建高精度的热、光、电、结构等多物理场仿真模型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运用仿真技术，评估超高清视频显示产品的性能，提出优化方案，提升显示效果与能效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进行热应力、寿命预测等仿真分析，确保产品长期稳定运行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模拟生产流程，识别瓶颈，提出改进措施，提高生产效率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探索并应用最新的仿真技术，推动超高清视频显示技术的持续创新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9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与研发团队紧密合作，将仿真结果转化为实际产品设计改进。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机械工程、应用物理学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熟悉ANSYS、COMSOL、SolidWorks Simulation等仿真软件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深入理解多物理场仿真原理，具备解决实际工程问题的能力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强大的数据分析与问题解决能力，能够从复杂数据中提炼关键信息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0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61" w:name="_Toc9576"/>
      <w:bookmarkStart w:id="362" w:name="_Toc2880"/>
      <w:bookmarkStart w:id="363" w:name="_Toc27588"/>
      <w:bookmarkStart w:id="364" w:name="_Toc10617"/>
      <w:r>
        <w:rPr>
          <w:rFonts w:hint="eastAsia"/>
          <w:lang w:val="en-US" w:eastAsia="zh-CN"/>
        </w:rPr>
        <w:t>51.超高清视频显示元器件可靠性专家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55"/>
      <w:bookmarkEnd w:id="356"/>
      <w:bookmarkEnd w:id="361"/>
      <w:bookmarkEnd w:id="362"/>
      <w:bookmarkEnd w:id="363"/>
      <w:bookmarkEnd w:id="364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超高清视频显示元器件可靠性专家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t>制定并完善元器件可靠性测试方案与标准，依据行业规范及公司产品需求，建立全面且严谨的可靠性评估体系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t>主导各类元器件的可靠性测试工作，包括但不限于寿命测试、环境应力测试等，通过数据分析精准评估元器件性能，识别潜在风险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t>针对测试中发现的可靠性问题，与研发、采购等跨部门团队深度协作，共同制定解决方案，推动问题元器件的整改与优化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t>跟踪行业最新的元器件可靠性技术，为公司引入先进方法与理念，提升整体可靠性管理水平。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材料科学与工程类、电子科学与技术类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2"/>
              </w:numPr>
              <w:bidi w:val="0"/>
              <w:ind w:left="425" w:leftChars="0" w:hanging="425" w:firstLineChars="0"/>
            </w:pPr>
            <w:r>
              <w:rPr>
                <w:lang w:val="en-US" w:eastAsia="zh-CN"/>
              </w:rPr>
              <w:t>熟悉高清视频显示产业元器件特点，有丰富的实际项目经验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ind w:left="425" w:leftChars="0" w:hanging="425" w:firstLineChars="0"/>
            </w:pPr>
            <w:r>
              <w:t>精通可靠性测试方法与数据分析工具，能够熟练解读测试数据并给出专业判断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2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65" w:name="_Toc30416"/>
      <w:bookmarkStart w:id="366" w:name="_Toc27611"/>
      <w:bookmarkStart w:id="367" w:name="_Toc20793"/>
      <w:bookmarkStart w:id="368" w:name="_Toc24089"/>
      <w:bookmarkStart w:id="369" w:name="_Toc27126"/>
      <w:bookmarkStart w:id="370" w:name="_Toc27500"/>
      <w:r>
        <w:rPr>
          <w:rFonts w:hint="eastAsia"/>
          <w:lang w:val="en-US" w:eastAsia="zh-CN"/>
        </w:rPr>
        <w:t>52.光学材料研发专家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65"/>
      <w:bookmarkEnd w:id="366"/>
      <w:bookmarkEnd w:id="367"/>
      <w:bookmarkEnd w:id="368"/>
      <w:bookmarkEnd w:id="369"/>
      <w:bookmarkEnd w:id="37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光学材料</w:t>
            </w:r>
            <w:r>
              <w:rPr>
                <w:rFonts w:hint="eastAsia"/>
                <w:lang w:val="en-US" w:eastAsia="zh-CN"/>
              </w:rPr>
              <w:t>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研究并开发新型光学材料，提升高清视频显示的光学性能与稳定性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优化现有光学材料的制造工艺，降低成本并提高生产效率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分析并解决光学材料在研发与应用过程中的技术难题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跟踪光学材料领域的最新进展，引入并应用新技术，保持技术领先性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与研发团队紧密合作，推动光学材料技术的持续创新与应用。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材料科学与工程、应用物理学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精通光学材料的特性、制造工艺及测试方法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具备扎实的材料科学基础，能够理解并解决复杂的材料问题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4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71" w:name="_Toc14835"/>
      <w:bookmarkStart w:id="372" w:name="_Toc10011"/>
      <w:bookmarkStart w:id="373" w:name="_Toc17680"/>
      <w:bookmarkStart w:id="374" w:name="_Toc32471"/>
      <w:bookmarkStart w:id="375" w:name="_Toc22932"/>
      <w:bookmarkStart w:id="376" w:name="_Toc5759"/>
      <w:r>
        <w:rPr>
          <w:rFonts w:hint="eastAsia"/>
          <w:lang w:val="en-US" w:eastAsia="zh-CN"/>
        </w:rPr>
        <w:t>53.超高清视频显示工艺专家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71"/>
      <w:bookmarkEnd w:id="372"/>
      <w:bookmarkEnd w:id="373"/>
      <w:bookmarkEnd w:id="374"/>
      <w:bookmarkEnd w:id="375"/>
      <w:bookmarkEnd w:id="376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负责超高清显示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default"/>
              </w:rPr>
              <w:t>的工艺开发，主导阵列、成盒、模组等制程优化；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主导工艺流程设计、良率提升与缺陷改善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解决量产中的关键工艺难题；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研发新型显示材料与工艺方案</w:t>
            </w:r>
            <w:r>
              <w:rPr>
                <w:rFonts w:hint="default"/>
              </w:rPr>
              <w:t>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协同设备厂商完成产线调试，制定SOP及工艺窗口；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构建工艺知识图谱与失效分析体系，主导专利布局，维护技术壁垒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跟踪先进封装技术与可靠性标准，推动工艺降本增效。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材料科学与工程、机械电子工程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精通显示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default"/>
              </w:rPr>
              <w:t>全制程工艺，熟悉SPC、DOE、FMEA等质量工具；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t>具备工艺仿真能力，熟练使用SEM</w:t>
            </w:r>
            <w:r>
              <w:rPr>
                <w:rFonts w:hint="eastAsia"/>
                <w:lang w:eastAsia="zh-CN"/>
              </w:rPr>
              <w:t>、</w:t>
            </w:r>
            <w:r>
              <w:t>AFM</w:t>
            </w:r>
            <w:r>
              <w:rPr>
                <w:rFonts w:hint="eastAsia"/>
                <w:lang w:eastAsia="zh-CN"/>
              </w:rPr>
              <w:t>、</w:t>
            </w:r>
            <w:r>
              <w:t>椭偏仪等分析设备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具备缺陷分析、良率提升实战经验；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理解超高清显示对工艺的特殊需求，擅长通过工艺调整优化显示效果；</w:t>
            </w:r>
          </w:p>
          <w:p>
            <w:pPr>
              <w:pStyle w:val="16"/>
              <w:numPr>
                <w:ilvl w:val="0"/>
                <w:numId w:val="106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77" w:name="_Toc11890"/>
      <w:bookmarkStart w:id="378" w:name="_Toc6062"/>
      <w:bookmarkStart w:id="379" w:name="_Toc22863"/>
      <w:bookmarkStart w:id="380" w:name="_Toc8935"/>
      <w:bookmarkStart w:id="381" w:name="_Toc206"/>
      <w:bookmarkStart w:id="382" w:name="_Toc16439"/>
      <w:r>
        <w:rPr>
          <w:rFonts w:hint="eastAsia"/>
          <w:lang w:val="en-US" w:eastAsia="zh-CN"/>
        </w:rPr>
        <w:t>54.光学镀膜工艺专家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77"/>
      <w:bookmarkEnd w:id="378"/>
      <w:bookmarkEnd w:id="379"/>
      <w:bookmarkEnd w:id="380"/>
      <w:bookmarkEnd w:id="381"/>
      <w:bookmarkEnd w:id="382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光学镀膜工艺专家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负责超高清视频显示产品光学元件的镀膜工艺设计与开发，确保产品光学性能满足设计要求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持续优化镀膜工艺，提高生产效率与产品质量，降低成本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快速定位并解决镀膜过程中遇到的技术问题，确保生产线的稳定运行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编写镀膜工艺相关的技术文档，为团队成员提供培训与指导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与研发团队、生产团队及质量团队紧密合作，共同推进产品开发进程。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材料科学与工程、应用物理学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0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精通光学镀膜原理与工艺，熟悉各类镀膜设备与检测技术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强大的问题解决能力与实验设计能力，能够快速定位并解决复杂工艺问题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8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383" w:name="_Toc1953"/>
      <w:bookmarkStart w:id="384" w:name="_Toc7509"/>
      <w:bookmarkStart w:id="385" w:name="_Toc14177"/>
      <w:bookmarkStart w:id="386" w:name="_Toc20886"/>
      <w:bookmarkStart w:id="387" w:name="_Toc20201"/>
      <w:bookmarkStart w:id="388" w:name="_Toc2739"/>
      <w:r>
        <w:rPr>
          <w:rFonts w:hint="eastAsia"/>
          <w:lang w:val="en-US" w:eastAsia="zh-CN"/>
        </w:rPr>
        <w:t>55.</w:t>
      </w:r>
      <w:r>
        <w:rPr>
          <w:rFonts w:hint="eastAsia"/>
          <w:lang w:eastAsia="zh-CN"/>
        </w:rPr>
        <w:t>显示芯片</w:t>
      </w:r>
      <w:r>
        <w:t>工艺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83"/>
      <w:bookmarkEnd w:id="384"/>
      <w:bookmarkEnd w:id="385"/>
      <w:bookmarkEnd w:id="386"/>
      <w:bookmarkEnd w:id="387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显示芯片</w:t>
            </w:r>
            <w:r>
              <w:t>工艺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负责超高清显示芯片的工艺开发</w:t>
            </w:r>
            <w:r>
              <w:rPr>
                <w:rFonts w:hint="eastAsia"/>
                <w:lang w:eastAsia="zh-CN"/>
              </w:rPr>
              <w:t>与优化</w:t>
            </w:r>
            <w:r>
              <w:rPr>
                <w:rFonts w:hint="default"/>
              </w:rPr>
              <w:t>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主导芯片制造全流程工艺设计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解决芯片制造中的关键工艺难题，优化CP/FT测试覆盖率；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协同设计团队完成DFM规则制定，减少芯片面积与功耗；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研发新型材料与工艺方案，提升芯片集成度与显示性能</w:t>
            </w:r>
            <w:r>
              <w:rPr>
                <w:rFonts w:hint="default"/>
              </w:rPr>
              <w:t>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构建工艺失效分析体系，主导专利布局，维护技术壁垒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0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跟踪先进封装技术与可靠性标准，推动芯片工艺迭代。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集成电路设计与集成系统</w:t>
            </w:r>
            <w:r>
              <w:rPr>
                <w:rFonts w:hint="eastAsia" w:ascii="仿宋_GB2312"/>
              </w:rPr>
              <w:t>、电子科学与技术</w:t>
            </w:r>
            <w:r>
              <w:rPr>
                <w:rFonts w:hint="eastAsia"/>
                <w:lang w:eastAsia="zh-CN"/>
              </w:rPr>
              <w:t>、微电子科学与工程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精通半导体工艺制程，熟悉TCAD仿真、SPC、DOE等质量工具；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t>具备工艺仿真能力，熟练使用SEM</w:t>
            </w:r>
            <w:r>
              <w:rPr>
                <w:rFonts w:hint="eastAsia"/>
                <w:lang w:eastAsia="zh-CN"/>
              </w:rPr>
              <w:t>、</w:t>
            </w:r>
            <w:r>
              <w:t>FIB</w:t>
            </w:r>
            <w:r>
              <w:rPr>
                <w:rFonts w:hint="eastAsia"/>
                <w:lang w:eastAsia="zh-CN"/>
              </w:rPr>
              <w:t>、</w:t>
            </w:r>
            <w:r>
              <w:t>TEM等分析设备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主导过显示芯片量产，具备缺陷分析、良率提升实战经验；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深度理解显示芯片特性，擅长通过工艺调整优化显示效果；</w:t>
            </w:r>
          </w:p>
          <w:p>
            <w:pPr>
              <w:pStyle w:val="16"/>
              <w:numPr>
                <w:ilvl w:val="0"/>
                <w:numId w:val="110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89" w:name="_Toc29027"/>
      <w:bookmarkStart w:id="390" w:name="_Toc32629"/>
      <w:bookmarkStart w:id="391" w:name="_Toc5793"/>
      <w:bookmarkStart w:id="392" w:name="_Toc10217"/>
      <w:bookmarkStart w:id="393" w:name="_Toc3985"/>
      <w:r>
        <w:rPr>
          <w:rFonts w:hint="eastAsia"/>
          <w:lang w:val="en-US" w:eastAsia="zh-CN"/>
        </w:rPr>
        <w:t>56.</w:t>
      </w:r>
      <w:r>
        <w:t>MEMS工艺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89"/>
      <w:bookmarkEnd w:id="390"/>
      <w:bookmarkEnd w:id="391"/>
      <w:bookmarkEnd w:id="392"/>
      <w:bookmarkEnd w:id="39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t>MEMS工艺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负责超高清显示相关MEMS器件的工艺开发，主导光刻、刻蚀、薄膜沉积等关键工艺模块优化；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解决MEMS量产中的工艺难题，推动DFT落地；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协同半导体代工厂制定工艺菜单，完成器件从实验室到量产的转移；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定义MEMS器件测试规范，建立量产质量控制体系；</w:t>
            </w:r>
          </w:p>
          <w:p>
            <w:pPr>
              <w:pStyle w:val="16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跟踪先进封装技术，推动MEMS与显示模组的集成工艺创新。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集成电路设计与集成系统</w:t>
            </w:r>
            <w:r>
              <w:rPr>
                <w:rFonts w:hint="eastAsia" w:ascii="仿宋_GB2312"/>
              </w:rPr>
              <w:t>、电子科学与技术</w:t>
            </w:r>
            <w:r>
              <w:rPr>
                <w:rFonts w:hint="eastAsia"/>
                <w:lang w:eastAsia="zh-CN"/>
              </w:rPr>
              <w:t>、微电子科学与工程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精通MEMS制造全流程，熟悉ASM、Lam Research等设备工艺原理；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主导过MEMS器件量产导入，具备DOE（实验设计）、SPC（统计过程控制）实战经验；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理解显示器件对MEMS工艺的特殊需求，擅长通过工艺调整优化性能；</w:t>
            </w:r>
          </w:p>
          <w:p>
            <w:pPr>
              <w:pStyle w:val="16"/>
              <w:numPr>
                <w:ilvl w:val="0"/>
                <w:numId w:val="112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94" w:name="_Toc7754"/>
      <w:bookmarkStart w:id="395" w:name="_Toc31110"/>
      <w:bookmarkStart w:id="396" w:name="_Toc31878"/>
      <w:bookmarkStart w:id="397" w:name="_Toc5065"/>
      <w:bookmarkStart w:id="398" w:name="_Toc28996"/>
      <w:r>
        <w:rPr>
          <w:rFonts w:hint="eastAsia"/>
          <w:lang w:val="en-US" w:eastAsia="zh-CN"/>
        </w:rPr>
        <w:t>57.超高清视频显示NPI专家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88"/>
      <w:bookmarkEnd w:id="394"/>
      <w:bookmarkEnd w:id="395"/>
      <w:bookmarkEnd w:id="396"/>
      <w:bookmarkEnd w:id="397"/>
      <w:bookmarkEnd w:id="398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超高清视频显示NPI专家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主导超高清显示产品从试产到量产的全流程管理，确保良率、成本与交付周期达标；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协同研发、工艺、供应链制定DFM方案，解决试产阶段技术瓶颈；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搭建量产测试平台，制定CP/FT测试标准及数据追溯体系；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优化生产流程，通过自动化与数字化提升产线效率；</w:t>
            </w:r>
          </w:p>
          <w:p>
            <w:pPr>
              <w:pStyle w:val="16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分析客退品与产线数据，驱动设计迭代，降低售后返修率。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机械工程、电子科学与技术、工业工程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精通DFM/DFT规则、工艺制程，熟悉ISO9001/IATF16949质量体系；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具备FA、DOE、8D报告实战经验；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深度理解显示模组结构，擅长通过制程调整平衡性能与成本；</w:t>
            </w:r>
          </w:p>
          <w:p>
            <w:pPr>
              <w:pStyle w:val="16"/>
              <w:numPr>
                <w:ilvl w:val="0"/>
                <w:numId w:val="114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99" w:name="_Toc4215"/>
      <w:bookmarkStart w:id="400" w:name="_Toc25797"/>
      <w:bookmarkStart w:id="401" w:name="_Toc8552"/>
      <w:bookmarkStart w:id="402" w:name="_Toc30915"/>
      <w:bookmarkStart w:id="403" w:name="_Toc8931"/>
      <w:bookmarkStart w:id="404" w:name="_Toc10978"/>
      <w:r>
        <w:rPr>
          <w:rFonts w:hint="eastAsia"/>
          <w:lang w:val="en-US" w:eastAsia="zh-CN"/>
        </w:rPr>
        <w:t>58.超高清视频显示精益生产专家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99"/>
      <w:bookmarkEnd w:id="400"/>
      <w:bookmarkEnd w:id="401"/>
      <w:bookmarkEnd w:id="402"/>
      <w:bookmarkEnd w:id="403"/>
      <w:bookmarkEnd w:id="404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超高清视频显示精益生产专家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主导超高清显示产线精益化改造，通过VSM价值流分析、Layout优化，缩短生产周期，提升设备效率；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运用六西格玛工具解决量产瓶颈，推动良率爬坡与成本优化；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开发智能排产系统，结合MES/ERP数据实现动态调度，减少在制品库存；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建立标准化作业流程与防错机制，确保产品符合车规级或消费电子质量规范；</w:t>
            </w:r>
          </w:p>
          <w:p>
            <w:pPr>
              <w:pStyle w:val="16"/>
              <w:numPr>
                <w:ilvl w:val="0"/>
                <w:numId w:val="11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领导精益改善团队，通过QCC活动实现年度降本增效目标。</w:t>
            </w:r>
          </w:p>
          <w:p>
            <w:pPr>
              <w:pStyle w:val="16"/>
              <w:bidi w:val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工业工程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精通精益生产工具，熟悉显示产品制造工艺；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具备全流程价值流分析与浪费消除实战经验；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深度理解显示产业链，擅长通过精益手段提升生产效率与柔性；</w:t>
            </w:r>
          </w:p>
          <w:p>
            <w:pPr>
              <w:pStyle w:val="16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405" w:name="_Toc18078"/>
      <w:bookmarkStart w:id="406" w:name="_Toc7366"/>
      <w:bookmarkStart w:id="407" w:name="_Toc23887"/>
      <w:bookmarkStart w:id="408" w:name="_Toc1206"/>
      <w:bookmarkStart w:id="409" w:name="_Toc25120"/>
      <w:bookmarkStart w:id="410" w:name="_Toc26988"/>
      <w:bookmarkStart w:id="411" w:name="_Toc7044"/>
      <w:bookmarkStart w:id="412" w:name="_Toc4028"/>
      <w:r>
        <w:rPr>
          <w:rFonts w:hint="eastAsia"/>
          <w:lang w:val="en-US" w:eastAsia="zh-CN"/>
        </w:rPr>
        <w:t>59.自动化产线技术专家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405"/>
      <w:bookmarkEnd w:id="406"/>
      <w:bookmarkEnd w:id="407"/>
      <w:bookmarkEnd w:id="408"/>
      <w:bookmarkEnd w:id="409"/>
      <w:bookmarkEnd w:id="410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自动化产线技术专家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负责超高清显示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default"/>
              </w:rPr>
              <w:t>自动化产线的规划、调试与优化；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主导自动化设备选型、产线节拍优化及OEE提升；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解决产线异常，开发预测性维护系统，减少非计划停机时间；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协同IT团队部署智能制造系统，实现生产数据实时监控与追溯；</w:t>
            </w:r>
          </w:p>
          <w:p>
            <w:pPr>
              <w:pStyle w:val="16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跟踪工业4.0技术，推动产线柔性化与无人化升级。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eastAsia="zh-CN"/>
              </w:rPr>
              <w:t>机械工程、自动化、工业工程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8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精通PLC、机器人编程及工业网络；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主导过显示</w:t>
            </w: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default"/>
              </w:rPr>
              <w:t>自动化产线建设，具备产线仿真、DOE实战经验；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理解超高清显示工艺特性，擅长通过自动化改进提升良率；</w:t>
            </w:r>
          </w:p>
          <w:p>
            <w:pPr>
              <w:pStyle w:val="16"/>
              <w:numPr>
                <w:ilvl w:val="0"/>
                <w:numId w:val="118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413" w:name="_Toc7132"/>
      <w:bookmarkStart w:id="414" w:name="_Toc18242"/>
      <w:bookmarkStart w:id="415" w:name="_Toc22566"/>
      <w:bookmarkStart w:id="416" w:name="_Toc31272"/>
      <w:bookmarkStart w:id="417" w:name="_Toc4672"/>
      <w:bookmarkStart w:id="418" w:name="_Toc15673"/>
      <w:r>
        <w:rPr>
          <w:rFonts w:hint="eastAsia"/>
          <w:lang w:val="en-US" w:eastAsia="zh-CN"/>
        </w:rPr>
        <w:t>60.超高清视频显示质量总监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413"/>
      <w:bookmarkEnd w:id="414"/>
      <w:bookmarkEnd w:id="415"/>
      <w:bookmarkEnd w:id="416"/>
      <w:bookmarkEnd w:id="417"/>
      <w:bookmarkEnd w:id="418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超高清视频显示质量总监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主导超高清显示产品的质量战略规划，构建覆盖研发、供应链、生产的全流程质量管理体系；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制定显示性能标准，推动DFMEA、PFMEA在项目中的落地；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管控供应链质量，主导关键物料的认证与</w:t>
            </w:r>
            <w:r>
              <w:rPr>
                <w:rFonts w:hint="eastAsia"/>
                <w:lang w:eastAsia="zh-CN"/>
              </w:rPr>
              <w:t>稽核</w:t>
            </w:r>
            <w:r>
              <w:rPr>
                <w:rFonts w:hint="default"/>
              </w:rPr>
              <w:t>，确保来料良率；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处理客诉与退货，运用8D、5Why等工具推动根本原因分析，闭环改进措施（CAR）落实率100%；</w:t>
            </w:r>
          </w:p>
          <w:p>
            <w:pPr>
              <w:pStyle w:val="16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领导质量团队，跨部门协同研发、工艺、生产，通过六西格玛、QCC等活动实现质量成本降低。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highlight w:val="none"/>
                <w:lang w:eastAsia="zh-CN"/>
              </w:rPr>
              <w:t>本科</w:t>
            </w:r>
            <w:r>
              <w:rPr>
                <w:rFonts w:ascii="仿宋_GB2312"/>
                <w:highlight w:val="no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电子科学与技术、质量管理工程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精通ISO 9001/14001、VDA 6.3等体系，熟悉显示产品可靠性标准；</w:t>
            </w:r>
          </w:p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主导过高端显示产品的质量爬坡，具备零缺陷管理实战经验；</w:t>
            </w:r>
          </w:p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深度理解显示技术参数，擅长通过质量工具驱动技术改进；</w:t>
            </w:r>
          </w:p>
          <w:p>
            <w:pPr>
              <w:pStyle w:val="16"/>
              <w:numPr>
                <w:ilvl w:val="0"/>
                <w:numId w:val="120"/>
              </w:numPr>
              <w:bidi w:val="0"/>
              <w:ind w:left="425" w:leftChars="0" w:hanging="425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419" w:name="_Toc14720"/>
      <w:bookmarkStart w:id="420" w:name="_Toc5704"/>
      <w:bookmarkStart w:id="421" w:name="_Toc2865"/>
      <w:bookmarkStart w:id="422" w:name="_Toc32380"/>
      <w:r>
        <w:rPr>
          <w:rFonts w:hint="eastAsia"/>
          <w:lang w:val="en-US" w:eastAsia="zh-CN"/>
        </w:rPr>
        <w:t>61.显示芯片采购专家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411"/>
      <w:bookmarkEnd w:id="412"/>
      <w:bookmarkEnd w:id="419"/>
      <w:bookmarkEnd w:id="420"/>
      <w:bookmarkEnd w:id="421"/>
      <w:bookmarkEnd w:id="422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显示芯片采购专家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深入研究</w:t>
            </w:r>
            <w:r>
              <w:rPr>
                <w:rFonts w:hint="eastAsia"/>
                <w:lang w:eastAsia="zh-CN"/>
              </w:rPr>
              <w:t>显示</w:t>
            </w:r>
            <w:r>
              <w:rPr>
                <w:rFonts w:hint="default"/>
              </w:rPr>
              <w:t>芯片市场动态，预测趋势，识别潜在供应商，为公司产品规划提供数据支持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建立并维护与国内外顶尖</w:t>
            </w:r>
            <w:r>
              <w:rPr>
                <w:rFonts w:hint="eastAsia"/>
                <w:lang w:eastAsia="zh-CN"/>
              </w:rPr>
              <w:t>显示</w:t>
            </w:r>
            <w:r>
              <w:rPr>
                <w:rFonts w:hint="default"/>
              </w:rPr>
              <w:t>芯片供应商的合作关系，进行供应商评估、谈判及合同管理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通过策略采购、批量采购等方式，有效控制采购成本，提升供应链效率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制定供应链风险应对策略，包括备选供应商开发、库存管理优化等，确保供应链韧性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与技术部门紧密合作，理解产品技术需求，确保采购的芯片满足性能与质量要求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1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持续优化采购流程，引入先进的采购管理系统，提升采购团队的整体效能。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材料科学与工程、电子科学与工程、供应链管理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2"/>
              </w:numPr>
              <w:bidi w:val="0"/>
              <w:ind w:left="425" w:hanging="425"/>
              <w:rPr>
                <w:rFonts w:hint="eastAsia"/>
                <w:lang w:val="en-US" w:eastAsia="zh-CN"/>
              </w:rPr>
            </w:pPr>
            <w:r>
              <w:t>熟悉汽车电子元器件、IC等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ind w:left="425" w:hanging="425"/>
              <w:rPr>
                <w:rFonts w:hint="eastAsia"/>
                <w:lang w:val="en-US" w:eastAsia="zh-CN"/>
              </w:rPr>
            </w:pPr>
            <w:r>
              <w:t>具备出色的谈判能力和财务分析能力，熟悉采购成本控制</w:t>
            </w:r>
            <w:r>
              <w:rPr>
                <w:rFonts w:hint="default"/>
              </w:rPr>
              <w:t>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ind w:left="425" w:hanging="42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良好的英语沟通能力，能够与国际供应商有效交流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2"/>
              </w:numPr>
              <w:bidi w:val="0"/>
              <w:ind w:left="425" w:hanging="425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pStyle w:val="4"/>
        <w:bidi w:val="0"/>
        <w:rPr>
          <w:rFonts w:hint="eastAsia"/>
        </w:rPr>
      </w:pPr>
      <w:bookmarkStart w:id="423" w:name="_Toc30543"/>
      <w:bookmarkStart w:id="424" w:name="_Toc25104"/>
      <w:bookmarkStart w:id="425" w:name="_Toc1168"/>
      <w:bookmarkStart w:id="426" w:name="_Toc4341"/>
      <w:bookmarkStart w:id="427" w:name="_Toc271"/>
      <w:bookmarkStart w:id="428" w:name="_Toc20799"/>
      <w:bookmarkStart w:id="429" w:name="_Toc31221"/>
      <w:r>
        <w:rPr>
          <w:rFonts w:hint="eastAsia"/>
          <w:lang w:val="en-US" w:eastAsia="zh-CN"/>
        </w:rPr>
        <w:t>62.超高清视频显示国内销售总监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423"/>
      <w:bookmarkEnd w:id="424"/>
      <w:bookmarkEnd w:id="425"/>
      <w:bookmarkEnd w:id="426"/>
      <w:bookmarkEnd w:id="427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超高清视频显示国内销售总监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制定超高清视频显示产品的国内市场销售策略，规划年度/季度销售目标并推动落地执行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主导核心客户的商务谈判与合作协议签订，建立长期战略合作伙伴关系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深耕细分市场，挖掘行业客户需求，提供定制化显示解决方案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组建并管理销售团队，制定绩效考核体系，协调资源支持区域销售目标达成，定期复盘销售进度并优化策略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跟踪国内超高清视频产业政策及行业动态，推动产品迭代与市场适配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3"/>
              </w:numPr>
              <w:ind w:left="425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负责销售数据统计分析，撰写销售报告并向管理层汇报，为公司战略决策提供依据。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 w:ascii="仿宋_GB2312"/>
              </w:rPr>
              <w:t>市场营销、电子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熟悉国内主流品牌、商用显示集成商及政企采购流程，拥有稳定的客户资源网络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具有出色的商务谈判技巧与跨部门协作能力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精通超高清显示产品技术参数，能针对不同场景提供专业技术讲解与方案设计，具备解决方案销售能力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熟练使用CRM系统、Excel数据可视化工具，具备市场分析、竞品调研及销售预测能力，曾主导过亿元级订单签约经验优先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p>
      <w:pPr>
        <w:pStyle w:val="4"/>
        <w:bidi w:val="0"/>
        <w:rPr>
          <w:rFonts w:hint="eastAsia"/>
        </w:rPr>
      </w:pPr>
      <w:bookmarkStart w:id="430" w:name="_Toc3193"/>
      <w:bookmarkStart w:id="431" w:name="_Toc13800"/>
      <w:bookmarkStart w:id="432" w:name="_Toc5944"/>
      <w:bookmarkStart w:id="433" w:name="_Toc12320"/>
      <w:r>
        <w:rPr>
          <w:rFonts w:hint="eastAsia"/>
          <w:lang w:val="en-US" w:eastAsia="zh-CN"/>
        </w:rPr>
        <w:t>63.超高清视频显示销售技术专家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428"/>
      <w:bookmarkEnd w:id="429"/>
      <w:bookmarkEnd w:id="430"/>
      <w:bookmarkEnd w:id="431"/>
      <w:bookmarkEnd w:id="432"/>
      <w:bookmarkEnd w:id="433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超高清视频显示销售技术专家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深度理解超高清显示技术，为客户定制解决方案；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主导技术标书撰写、产品演示与POC测试，解决客户技术痛点；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分析行业趋势，反馈市场需求至研发团队，推动产品迭代；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协同渠道伙伴完成项目交付，确保客户满意度与复购率；</w:t>
            </w:r>
          </w:p>
          <w:p>
            <w:pPr>
              <w:pStyle w:val="16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培训销售团队，输出技术白皮书、竞品分析报告，支撑区域销售目标达成。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应用物理学、电子科学与技术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精通显示技术参数，具备解决方案设计能力；</w:t>
            </w:r>
          </w:p>
          <w:p>
            <w:pPr>
              <w:pStyle w:val="16"/>
              <w:numPr>
                <w:ilvl w:val="0"/>
                <w:numId w:val="12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优秀的沟通能力与客户需求洞察力，擅长技术语言与商业价值的转化；</w:t>
            </w:r>
          </w:p>
          <w:p>
            <w:pPr>
              <w:pStyle w:val="16"/>
              <w:numPr>
                <w:ilvl w:val="0"/>
                <w:numId w:val="126"/>
              </w:numPr>
              <w:bidi w:val="0"/>
              <w:ind w:left="425" w:leftChars="0" w:firstLineChars="0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r>
        <w:br w:type="page"/>
      </w:r>
    </w:p>
    <w:p>
      <w:pPr>
        <w:pStyle w:val="4"/>
        <w:bidi w:val="0"/>
        <w:rPr>
          <w:rFonts w:hint="eastAsia"/>
        </w:rPr>
      </w:pPr>
      <w:bookmarkStart w:id="434" w:name="_Toc11101"/>
      <w:bookmarkStart w:id="435" w:name="_Toc4533"/>
      <w:bookmarkStart w:id="436" w:name="_Toc11994"/>
      <w:bookmarkStart w:id="437" w:name="_Toc27945"/>
      <w:r>
        <w:rPr>
          <w:rFonts w:hint="eastAsia"/>
          <w:lang w:val="en-US" w:eastAsia="zh-CN"/>
        </w:rPr>
        <w:t>64.超高清视频显示技术支持专家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434"/>
      <w:bookmarkEnd w:id="435"/>
      <w:bookmarkEnd w:id="436"/>
      <w:bookmarkEnd w:id="437"/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  <w:lang w:val="en-US" w:eastAsia="zh-CN"/>
              </w:rPr>
              <w:t>超高清视频显示技术支持专家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5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为客户提供超高清显示产品的技术支持，包括安装调试、故障诊断及性能优化；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制定显示系统解决方案，针对客户场景定制画质调校参数；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输出技术白皮书、操作指南及培训材料，面向B端客户开展产品使用培训；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收集客户反馈，分析产品痛点，推动研发团队改进显示算法；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协同售后团队搭建技术支持体系，制定SOP流程，提升客户服务满意度；</w:t>
            </w:r>
          </w:p>
          <w:p>
            <w:pPr>
              <w:pStyle w:val="16"/>
              <w:numPr>
                <w:ilvl w:val="0"/>
                <w:numId w:val="12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参与行业展会及技术论坛，演示产品功能，输出竞品分析报告。</w:t>
            </w:r>
          </w:p>
          <w:p>
            <w:pPr>
              <w:pStyle w:val="16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45万元及以上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</w:pPr>
            <w:r>
              <w:rPr>
                <w:rFonts w:hint="eastAsia" w:ascii="仿宋_GB2312"/>
              </w:rPr>
              <w:t>光电信息科学与工程</w:t>
            </w:r>
            <w:r>
              <w:rPr>
                <w:rFonts w:hint="eastAsia"/>
                <w:lang w:eastAsia="zh-CN"/>
              </w:rPr>
              <w:t>、电子科学与技术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7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7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6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5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6"/>
              <w:numPr>
                <w:ilvl w:val="0"/>
                <w:numId w:val="128"/>
              </w:numPr>
              <w:bidi w:val="0"/>
              <w:ind w:left="425" w:hanging="425"/>
              <w:rPr>
                <w:rFonts w:hint="default"/>
              </w:rPr>
            </w:pPr>
            <w:r>
              <w:t>熟悉</w:t>
            </w:r>
            <w:r>
              <w:rPr>
                <w:rFonts w:hint="eastAsia"/>
                <w:lang w:eastAsia="zh-CN"/>
              </w:rPr>
              <w:t>超高清视频显示</w:t>
            </w:r>
            <w:r>
              <w:t>市场情况，熟悉</w:t>
            </w:r>
            <w:r>
              <w:rPr>
                <w:rFonts w:hint="eastAsia"/>
                <w:lang w:eastAsia="zh-CN"/>
              </w:rPr>
              <w:t>超高清视频显示</w:t>
            </w:r>
            <w:r>
              <w:t>产品技术特点，了解其工作原理；</w:t>
            </w:r>
          </w:p>
          <w:p>
            <w:pPr>
              <w:pStyle w:val="16"/>
              <w:numPr>
                <w:ilvl w:val="0"/>
                <w:numId w:val="128"/>
              </w:numPr>
              <w:bidi w:val="0"/>
              <w:ind w:left="425" w:hanging="425"/>
              <w:rPr>
                <w:rFonts w:hint="default"/>
              </w:rPr>
            </w:pPr>
            <w:r>
              <w:t>具备一定的测试方案设计和问题排查能力，能够快速响应客户的应用问题及其他服务需求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6"/>
              <w:numPr>
                <w:ilvl w:val="0"/>
                <w:numId w:val="128"/>
              </w:numPr>
              <w:bidi w:val="0"/>
              <w:ind w:left="425" w:hanging="425"/>
              <w:rPr>
                <w:rFonts w:hint="eastAsia" w:eastAsia="仿宋_GB2312"/>
                <w:lang w:val="en-US" w:eastAsia="zh-CN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bidi w:val="0"/>
        <w:ind w:firstLine="0" w:firstLineChars="0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039F3"/>
    <w:multiLevelType w:val="singleLevel"/>
    <w:tmpl w:val="81E039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29C1E13"/>
    <w:multiLevelType w:val="singleLevel"/>
    <w:tmpl w:val="829C1E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4EC8BCC"/>
    <w:multiLevelType w:val="singleLevel"/>
    <w:tmpl w:val="84EC8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6DC7D86"/>
    <w:multiLevelType w:val="singleLevel"/>
    <w:tmpl w:val="86DC7D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9258ABF"/>
    <w:multiLevelType w:val="singleLevel"/>
    <w:tmpl w:val="89258A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A49E0AE"/>
    <w:multiLevelType w:val="singleLevel"/>
    <w:tmpl w:val="8A49E0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8B6F338C"/>
    <w:multiLevelType w:val="singleLevel"/>
    <w:tmpl w:val="8B6F33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8BB91F8B"/>
    <w:multiLevelType w:val="singleLevel"/>
    <w:tmpl w:val="8BB91F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8CFCD5C0"/>
    <w:multiLevelType w:val="singleLevel"/>
    <w:tmpl w:val="8CFCD5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8EE10546"/>
    <w:multiLevelType w:val="singleLevel"/>
    <w:tmpl w:val="8EE105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8F3B4F83"/>
    <w:multiLevelType w:val="singleLevel"/>
    <w:tmpl w:val="8F3B4F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1089BBF"/>
    <w:multiLevelType w:val="singleLevel"/>
    <w:tmpl w:val="91089B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92ACB16C"/>
    <w:multiLevelType w:val="singleLevel"/>
    <w:tmpl w:val="92ACB1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95F01C1C"/>
    <w:multiLevelType w:val="singleLevel"/>
    <w:tmpl w:val="95F01C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96EFAFF8"/>
    <w:multiLevelType w:val="singleLevel"/>
    <w:tmpl w:val="96EFAF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996569CC"/>
    <w:multiLevelType w:val="singleLevel"/>
    <w:tmpl w:val="996569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9A8E4663"/>
    <w:multiLevelType w:val="singleLevel"/>
    <w:tmpl w:val="9A8E46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9AAB3F1E"/>
    <w:multiLevelType w:val="singleLevel"/>
    <w:tmpl w:val="9AAB3F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9ABD4D4E"/>
    <w:multiLevelType w:val="singleLevel"/>
    <w:tmpl w:val="9ABD4D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A0F80567"/>
    <w:multiLevelType w:val="singleLevel"/>
    <w:tmpl w:val="A0F805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A45CC9BB"/>
    <w:multiLevelType w:val="singleLevel"/>
    <w:tmpl w:val="A45CC9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A481543D"/>
    <w:multiLevelType w:val="singleLevel"/>
    <w:tmpl w:val="A48154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A9C457B5"/>
    <w:multiLevelType w:val="singleLevel"/>
    <w:tmpl w:val="A9C457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AADEED5C"/>
    <w:multiLevelType w:val="singleLevel"/>
    <w:tmpl w:val="AADEED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AEDEC433"/>
    <w:multiLevelType w:val="singleLevel"/>
    <w:tmpl w:val="AEDEC4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B32BB38F"/>
    <w:multiLevelType w:val="singleLevel"/>
    <w:tmpl w:val="B32BB3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B362CEB6"/>
    <w:multiLevelType w:val="singleLevel"/>
    <w:tmpl w:val="B362CE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B4A59E08"/>
    <w:multiLevelType w:val="singleLevel"/>
    <w:tmpl w:val="B4A59E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B5260FCD"/>
    <w:multiLevelType w:val="singleLevel"/>
    <w:tmpl w:val="B5260F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B877FE9D"/>
    <w:multiLevelType w:val="singleLevel"/>
    <w:tmpl w:val="B877FE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B9076E74"/>
    <w:multiLevelType w:val="singleLevel"/>
    <w:tmpl w:val="B9076E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B99CA377"/>
    <w:multiLevelType w:val="singleLevel"/>
    <w:tmpl w:val="B99CA3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BEAAA37A"/>
    <w:multiLevelType w:val="singleLevel"/>
    <w:tmpl w:val="BEAAA3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C204D518"/>
    <w:multiLevelType w:val="singleLevel"/>
    <w:tmpl w:val="C204D5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C44417E5"/>
    <w:multiLevelType w:val="singleLevel"/>
    <w:tmpl w:val="C44417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C71EE08C"/>
    <w:multiLevelType w:val="singleLevel"/>
    <w:tmpl w:val="C71EE0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C73F8A01"/>
    <w:multiLevelType w:val="singleLevel"/>
    <w:tmpl w:val="C73F8A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C8A88FF1"/>
    <w:multiLevelType w:val="singleLevel"/>
    <w:tmpl w:val="C8A88F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C9102C3C"/>
    <w:multiLevelType w:val="singleLevel"/>
    <w:tmpl w:val="C9102C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CAE57DC9"/>
    <w:multiLevelType w:val="singleLevel"/>
    <w:tmpl w:val="CAE57D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CB1A7F4B"/>
    <w:multiLevelType w:val="singleLevel"/>
    <w:tmpl w:val="CB1A7F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CB738FC6"/>
    <w:multiLevelType w:val="singleLevel"/>
    <w:tmpl w:val="CB738F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CBAB66D6"/>
    <w:multiLevelType w:val="singleLevel"/>
    <w:tmpl w:val="CBAB66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CCE1742A"/>
    <w:multiLevelType w:val="singleLevel"/>
    <w:tmpl w:val="CCE174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CFD947F1"/>
    <w:multiLevelType w:val="singleLevel"/>
    <w:tmpl w:val="CFD947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D121FD64"/>
    <w:multiLevelType w:val="singleLevel"/>
    <w:tmpl w:val="D121FD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D57DCCC3"/>
    <w:multiLevelType w:val="singleLevel"/>
    <w:tmpl w:val="D57DCC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D7818409"/>
    <w:multiLevelType w:val="singleLevel"/>
    <w:tmpl w:val="D78184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DA9C96C7"/>
    <w:multiLevelType w:val="singleLevel"/>
    <w:tmpl w:val="DA9C96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DB41A763"/>
    <w:multiLevelType w:val="singleLevel"/>
    <w:tmpl w:val="DB41A7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DE4E70FD"/>
    <w:multiLevelType w:val="singleLevel"/>
    <w:tmpl w:val="DE4E70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DEE3412A"/>
    <w:multiLevelType w:val="singleLevel"/>
    <w:tmpl w:val="DEE341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E251F9FE"/>
    <w:multiLevelType w:val="singleLevel"/>
    <w:tmpl w:val="E251F9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ED929D8F"/>
    <w:multiLevelType w:val="singleLevel"/>
    <w:tmpl w:val="ED929D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EDEFA77F"/>
    <w:multiLevelType w:val="singleLevel"/>
    <w:tmpl w:val="EDEFA7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EF47A018"/>
    <w:multiLevelType w:val="singleLevel"/>
    <w:tmpl w:val="EF47A0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EFD04357"/>
    <w:multiLevelType w:val="singleLevel"/>
    <w:tmpl w:val="EFD043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F0BB7B53"/>
    <w:multiLevelType w:val="singleLevel"/>
    <w:tmpl w:val="F0BB7B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F196F8EE"/>
    <w:multiLevelType w:val="singleLevel"/>
    <w:tmpl w:val="F196F8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F211EA33"/>
    <w:multiLevelType w:val="singleLevel"/>
    <w:tmpl w:val="F211EA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F32AB99E"/>
    <w:multiLevelType w:val="singleLevel"/>
    <w:tmpl w:val="F32AB9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F333BE45"/>
    <w:multiLevelType w:val="singleLevel"/>
    <w:tmpl w:val="F333BE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F4CE46D9"/>
    <w:multiLevelType w:val="singleLevel"/>
    <w:tmpl w:val="F4CE46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F622AA77"/>
    <w:multiLevelType w:val="singleLevel"/>
    <w:tmpl w:val="F622AA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F6663AC3"/>
    <w:multiLevelType w:val="singleLevel"/>
    <w:tmpl w:val="F6663A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F6FAED22"/>
    <w:multiLevelType w:val="singleLevel"/>
    <w:tmpl w:val="F6FAED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F727D218"/>
    <w:multiLevelType w:val="singleLevel"/>
    <w:tmpl w:val="F727D2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F7A9318E"/>
    <w:multiLevelType w:val="singleLevel"/>
    <w:tmpl w:val="F7A931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F950224E"/>
    <w:multiLevelType w:val="singleLevel"/>
    <w:tmpl w:val="F95022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FC4B39AC"/>
    <w:multiLevelType w:val="singleLevel"/>
    <w:tmpl w:val="FC4B39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FCBB78B8"/>
    <w:multiLevelType w:val="singleLevel"/>
    <w:tmpl w:val="FCBB78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FE096180"/>
    <w:multiLevelType w:val="singleLevel"/>
    <w:tmpl w:val="FE0961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01639E26"/>
    <w:multiLevelType w:val="singleLevel"/>
    <w:tmpl w:val="01639E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06B34C78"/>
    <w:multiLevelType w:val="singleLevel"/>
    <w:tmpl w:val="06B34C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07A230B0"/>
    <w:multiLevelType w:val="singleLevel"/>
    <w:tmpl w:val="07A230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07C98738"/>
    <w:multiLevelType w:val="singleLevel"/>
    <w:tmpl w:val="07C987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09BA1C25"/>
    <w:multiLevelType w:val="singleLevel"/>
    <w:tmpl w:val="09BA1C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0CD0673F"/>
    <w:multiLevelType w:val="singleLevel"/>
    <w:tmpl w:val="0CD067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14E75003"/>
    <w:multiLevelType w:val="singleLevel"/>
    <w:tmpl w:val="14E750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15AD2C5C"/>
    <w:multiLevelType w:val="singleLevel"/>
    <w:tmpl w:val="15AD2C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1B37916D"/>
    <w:multiLevelType w:val="singleLevel"/>
    <w:tmpl w:val="1B3791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1E66B69E"/>
    <w:multiLevelType w:val="singleLevel"/>
    <w:tmpl w:val="1E66B6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21D8E06D"/>
    <w:multiLevelType w:val="singleLevel"/>
    <w:tmpl w:val="21D8E0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2321CA23"/>
    <w:multiLevelType w:val="singleLevel"/>
    <w:tmpl w:val="2321CA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23E100DB"/>
    <w:multiLevelType w:val="singleLevel"/>
    <w:tmpl w:val="23E100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25883996"/>
    <w:multiLevelType w:val="singleLevel"/>
    <w:tmpl w:val="258839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26671599"/>
    <w:multiLevelType w:val="singleLevel"/>
    <w:tmpl w:val="266715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2681264A"/>
    <w:multiLevelType w:val="singleLevel"/>
    <w:tmpl w:val="268126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2ADBEDBD"/>
    <w:multiLevelType w:val="singleLevel"/>
    <w:tmpl w:val="2ADBED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2EA15D14"/>
    <w:multiLevelType w:val="singleLevel"/>
    <w:tmpl w:val="2EA15D1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3170610D"/>
    <w:multiLevelType w:val="singleLevel"/>
    <w:tmpl w:val="317061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359370C6"/>
    <w:multiLevelType w:val="singleLevel"/>
    <w:tmpl w:val="359370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38282BEC"/>
    <w:multiLevelType w:val="singleLevel"/>
    <w:tmpl w:val="38282B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392D0144"/>
    <w:multiLevelType w:val="singleLevel"/>
    <w:tmpl w:val="392D01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3C8BFAB7"/>
    <w:multiLevelType w:val="singleLevel"/>
    <w:tmpl w:val="3C8BFA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5">
    <w:nsid w:val="3E1F5558"/>
    <w:multiLevelType w:val="singleLevel"/>
    <w:tmpl w:val="3E1F55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6">
    <w:nsid w:val="4006E774"/>
    <w:multiLevelType w:val="singleLevel"/>
    <w:tmpl w:val="4006E7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4156B638"/>
    <w:multiLevelType w:val="singleLevel"/>
    <w:tmpl w:val="4156B6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8">
    <w:nsid w:val="41A24525"/>
    <w:multiLevelType w:val="singleLevel"/>
    <w:tmpl w:val="41A245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9">
    <w:nsid w:val="44B5A543"/>
    <w:multiLevelType w:val="singleLevel"/>
    <w:tmpl w:val="44B5A5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0">
    <w:nsid w:val="46EC2BAB"/>
    <w:multiLevelType w:val="singleLevel"/>
    <w:tmpl w:val="46EC2B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1">
    <w:nsid w:val="4E6EDFC1"/>
    <w:multiLevelType w:val="singleLevel"/>
    <w:tmpl w:val="4E6EDF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2">
    <w:nsid w:val="4EE1EAF2"/>
    <w:multiLevelType w:val="singleLevel"/>
    <w:tmpl w:val="4EE1EA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3">
    <w:nsid w:val="4F0A06E0"/>
    <w:multiLevelType w:val="singleLevel"/>
    <w:tmpl w:val="4F0A06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4">
    <w:nsid w:val="51FF3E80"/>
    <w:multiLevelType w:val="singleLevel"/>
    <w:tmpl w:val="51FF3E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5">
    <w:nsid w:val="52934407"/>
    <w:multiLevelType w:val="singleLevel"/>
    <w:tmpl w:val="52934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6">
    <w:nsid w:val="5506F261"/>
    <w:multiLevelType w:val="singleLevel"/>
    <w:tmpl w:val="5506F2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7">
    <w:nsid w:val="57FCCE46"/>
    <w:multiLevelType w:val="singleLevel"/>
    <w:tmpl w:val="57FCCE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8">
    <w:nsid w:val="5AA1DB9E"/>
    <w:multiLevelType w:val="singleLevel"/>
    <w:tmpl w:val="5AA1DB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9">
    <w:nsid w:val="5B10A093"/>
    <w:multiLevelType w:val="singleLevel"/>
    <w:tmpl w:val="5B10A0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0">
    <w:nsid w:val="5C1881A2"/>
    <w:multiLevelType w:val="singleLevel"/>
    <w:tmpl w:val="5C188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1">
    <w:nsid w:val="5F7C63BC"/>
    <w:multiLevelType w:val="singleLevel"/>
    <w:tmpl w:val="5F7C63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2">
    <w:nsid w:val="6223F9A8"/>
    <w:multiLevelType w:val="singleLevel"/>
    <w:tmpl w:val="6223F9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3">
    <w:nsid w:val="658D6CB1"/>
    <w:multiLevelType w:val="singleLevel"/>
    <w:tmpl w:val="658D6C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4">
    <w:nsid w:val="65CDB98F"/>
    <w:multiLevelType w:val="singleLevel"/>
    <w:tmpl w:val="65CDB9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5">
    <w:nsid w:val="6606921F"/>
    <w:multiLevelType w:val="singleLevel"/>
    <w:tmpl w:val="660692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6">
    <w:nsid w:val="67A64A89"/>
    <w:multiLevelType w:val="singleLevel"/>
    <w:tmpl w:val="67A64A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7">
    <w:nsid w:val="68156AC7"/>
    <w:multiLevelType w:val="singleLevel"/>
    <w:tmpl w:val="68156A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8">
    <w:nsid w:val="6A98832E"/>
    <w:multiLevelType w:val="singleLevel"/>
    <w:tmpl w:val="6A9883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9">
    <w:nsid w:val="6DA6A201"/>
    <w:multiLevelType w:val="singleLevel"/>
    <w:tmpl w:val="6DA6A2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0">
    <w:nsid w:val="6E8BF175"/>
    <w:multiLevelType w:val="singleLevel"/>
    <w:tmpl w:val="6E8BF1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1">
    <w:nsid w:val="6EBE3684"/>
    <w:multiLevelType w:val="singleLevel"/>
    <w:tmpl w:val="6EBE36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2">
    <w:nsid w:val="7415F4F7"/>
    <w:multiLevelType w:val="singleLevel"/>
    <w:tmpl w:val="7415F4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3">
    <w:nsid w:val="7AF58888"/>
    <w:multiLevelType w:val="singleLevel"/>
    <w:tmpl w:val="7AF588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4">
    <w:nsid w:val="7B7442F1"/>
    <w:multiLevelType w:val="singleLevel"/>
    <w:tmpl w:val="7B7442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5">
    <w:nsid w:val="7CC0E771"/>
    <w:multiLevelType w:val="singleLevel"/>
    <w:tmpl w:val="7CC0E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6">
    <w:nsid w:val="7F9AB83A"/>
    <w:multiLevelType w:val="singleLevel"/>
    <w:tmpl w:val="7F9AB8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7">
    <w:nsid w:val="7FA604EA"/>
    <w:multiLevelType w:val="singleLevel"/>
    <w:tmpl w:val="7FA604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1"/>
  </w:num>
  <w:num w:numId="2">
    <w:abstractNumId w:val="94"/>
  </w:num>
  <w:num w:numId="3">
    <w:abstractNumId w:val="111"/>
  </w:num>
  <w:num w:numId="4">
    <w:abstractNumId w:val="15"/>
  </w:num>
  <w:num w:numId="5">
    <w:abstractNumId w:val="1"/>
  </w:num>
  <w:num w:numId="6">
    <w:abstractNumId w:val="47"/>
  </w:num>
  <w:num w:numId="7">
    <w:abstractNumId w:val="45"/>
  </w:num>
  <w:num w:numId="8">
    <w:abstractNumId w:val="65"/>
  </w:num>
  <w:num w:numId="9">
    <w:abstractNumId w:val="56"/>
  </w:num>
  <w:num w:numId="10">
    <w:abstractNumId w:val="68"/>
  </w:num>
  <w:num w:numId="11">
    <w:abstractNumId w:val="60"/>
  </w:num>
  <w:num w:numId="12">
    <w:abstractNumId w:val="116"/>
  </w:num>
  <w:num w:numId="13">
    <w:abstractNumId w:val="77"/>
  </w:num>
  <w:num w:numId="14">
    <w:abstractNumId w:val="2"/>
  </w:num>
  <w:num w:numId="15">
    <w:abstractNumId w:val="46"/>
  </w:num>
  <w:num w:numId="16">
    <w:abstractNumId w:val="44"/>
  </w:num>
  <w:num w:numId="17">
    <w:abstractNumId w:val="59"/>
  </w:num>
  <w:num w:numId="18">
    <w:abstractNumId w:val="20"/>
  </w:num>
  <w:num w:numId="19">
    <w:abstractNumId w:val="88"/>
  </w:num>
  <w:num w:numId="20">
    <w:abstractNumId w:val="21"/>
  </w:num>
  <w:num w:numId="21">
    <w:abstractNumId w:val="40"/>
  </w:num>
  <w:num w:numId="22">
    <w:abstractNumId w:val="104"/>
  </w:num>
  <w:num w:numId="23">
    <w:abstractNumId w:val="114"/>
  </w:num>
  <w:num w:numId="24">
    <w:abstractNumId w:val="123"/>
  </w:num>
  <w:num w:numId="25">
    <w:abstractNumId w:val="96"/>
  </w:num>
  <w:num w:numId="26">
    <w:abstractNumId w:val="71"/>
  </w:num>
  <w:num w:numId="27">
    <w:abstractNumId w:val="80"/>
  </w:num>
  <w:num w:numId="28">
    <w:abstractNumId w:val="52"/>
  </w:num>
  <w:num w:numId="29">
    <w:abstractNumId w:val="119"/>
  </w:num>
  <w:num w:numId="30">
    <w:abstractNumId w:val="13"/>
  </w:num>
  <w:num w:numId="31">
    <w:abstractNumId w:val="9"/>
  </w:num>
  <w:num w:numId="32">
    <w:abstractNumId w:val="31"/>
  </w:num>
  <w:num w:numId="33">
    <w:abstractNumId w:val="117"/>
  </w:num>
  <w:num w:numId="34">
    <w:abstractNumId w:val="63"/>
  </w:num>
  <w:num w:numId="35">
    <w:abstractNumId w:val="5"/>
  </w:num>
  <w:num w:numId="36">
    <w:abstractNumId w:val="29"/>
  </w:num>
  <w:num w:numId="37">
    <w:abstractNumId w:val="86"/>
  </w:num>
  <w:num w:numId="38">
    <w:abstractNumId w:val="84"/>
  </w:num>
  <w:num w:numId="39">
    <w:abstractNumId w:val="75"/>
  </w:num>
  <w:num w:numId="40">
    <w:abstractNumId w:val="92"/>
  </w:num>
  <w:num w:numId="41">
    <w:abstractNumId w:val="110"/>
  </w:num>
  <w:num w:numId="42">
    <w:abstractNumId w:val="109"/>
  </w:num>
  <w:num w:numId="43">
    <w:abstractNumId w:val="85"/>
  </w:num>
  <w:num w:numId="44">
    <w:abstractNumId w:val="125"/>
  </w:num>
  <w:num w:numId="45">
    <w:abstractNumId w:val="108"/>
  </w:num>
  <w:num w:numId="46">
    <w:abstractNumId w:val="64"/>
  </w:num>
  <w:num w:numId="47">
    <w:abstractNumId w:val="98"/>
  </w:num>
  <w:num w:numId="48">
    <w:abstractNumId w:val="127"/>
  </w:num>
  <w:num w:numId="49">
    <w:abstractNumId w:val="18"/>
  </w:num>
  <w:num w:numId="50">
    <w:abstractNumId w:val="72"/>
  </w:num>
  <w:num w:numId="51">
    <w:abstractNumId w:val="115"/>
  </w:num>
  <w:num w:numId="52">
    <w:abstractNumId w:val="102"/>
  </w:num>
  <w:num w:numId="53">
    <w:abstractNumId w:val="27"/>
  </w:num>
  <w:num w:numId="54">
    <w:abstractNumId w:val="22"/>
  </w:num>
  <w:num w:numId="55">
    <w:abstractNumId w:val="97"/>
  </w:num>
  <w:num w:numId="56">
    <w:abstractNumId w:val="0"/>
  </w:num>
  <w:num w:numId="57">
    <w:abstractNumId w:val="58"/>
  </w:num>
  <w:num w:numId="58">
    <w:abstractNumId w:val="17"/>
  </w:num>
  <w:num w:numId="59">
    <w:abstractNumId w:val="106"/>
  </w:num>
  <w:num w:numId="60">
    <w:abstractNumId w:val="28"/>
  </w:num>
  <w:num w:numId="61">
    <w:abstractNumId w:val="81"/>
  </w:num>
  <w:num w:numId="62">
    <w:abstractNumId w:val="26"/>
  </w:num>
  <w:num w:numId="63">
    <w:abstractNumId w:val="112"/>
  </w:num>
  <w:num w:numId="64">
    <w:abstractNumId w:val="48"/>
  </w:num>
  <w:num w:numId="65">
    <w:abstractNumId w:val="7"/>
  </w:num>
  <w:num w:numId="66">
    <w:abstractNumId w:val="105"/>
  </w:num>
  <w:num w:numId="67">
    <w:abstractNumId w:val="82"/>
  </w:num>
  <w:num w:numId="68">
    <w:abstractNumId w:val="50"/>
  </w:num>
  <w:num w:numId="69">
    <w:abstractNumId w:val="49"/>
  </w:num>
  <w:num w:numId="70">
    <w:abstractNumId w:val="95"/>
  </w:num>
  <w:num w:numId="71">
    <w:abstractNumId w:val="54"/>
  </w:num>
  <w:num w:numId="72">
    <w:abstractNumId w:val="66"/>
  </w:num>
  <w:num w:numId="73">
    <w:abstractNumId w:val="99"/>
  </w:num>
  <w:num w:numId="74">
    <w:abstractNumId w:val="103"/>
  </w:num>
  <w:num w:numId="75">
    <w:abstractNumId w:val="23"/>
  </w:num>
  <w:num w:numId="76">
    <w:abstractNumId w:val="69"/>
  </w:num>
  <w:num w:numId="77">
    <w:abstractNumId w:val="34"/>
  </w:num>
  <w:num w:numId="78">
    <w:abstractNumId w:val="79"/>
  </w:num>
  <w:num w:numId="79">
    <w:abstractNumId w:val="93"/>
  </w:num>
  <w:num w:numId="80">
    <w:abstractNumId w:val="113"/>
  </w:num>
  <w:num w:numId="81">
    <w:abstractNumId w:val="83"/>
  </w:num>
  <w:num w:numId="82">
    <w:abstractNumId w:val="55"/>
  </w:num>
  <w:num w:numId="83">
    <w:abstractNumId w:val="10"/>
  </w:num>
  <w:num w:numId="84">
    <w:abstractNumId w:val="67"/>
  </w:num>
  <w:num w:numId="85">
    <w:abstractNumId w:val="122"/>
  </w:num>
  <w:num w:numId="86">
    <w:abstractNumId w:val="37"/>
  </w:num>
  <w:num w:numId="87">
    <w:abstractNumId w:val="30"/>
  </w:num>
  <w:num w:numId="88">
    <w:abstractNumId w:val="24"/>
  </w:num>
  <w:num w:numId="89">
    <w:abstractNumId w:val="4"/>
  </w:num>
  <w:num w:numId="90">
    <w:abstractNumId w:val="53"/>
  </w:num>
  <w:num w:numId="91">
    <w:abstractNumId w:val="89"/>
  </w:num>
  <w:num w:numId="92">
    <w:abstractNumId w:val="118"/>
  </w:num>
  <w:num w:numId="93">
    <w:abstractNumId w:val="124"/>
  </w:num>
  <w:num w:numId="94">
    <w:abstractNumId w:val="78"/>
  </w:num>
  <w:num w:numId="95">
    <w:abstractNumId w:val="11"/>
  </w:num>
  <w:num w:numId="96">
    <w:abstractNumId w:val="126"/>
  </w:num>
  <w:num w:numId="97">
    <w:abstractNumId w:val="51"/>
  </w:num>
  <w:num w:numId="98">
    <w:abstractNumId w:val="25"/>
  </w:num>
  <w:num w:numId="99">
    <w:abstractNumId w:val="100"/>
  </w:num>
  <w:num w:numId="100">
    <w:abstractNumId w:val="36"/>
  </w:num>
  <w:num w:numId="101">
    <w:abstractNumId w:val="90"/>
  </w:num>
  <w:num w:numId="102">
    <w:abstractNumId w:val="32"/>
  </w:num>
  <w:num w:numId="103">
    <w:abstractNumId w:val="39"/>
  </w:num>
  <w:num w:numId="104">
    <w:abstractNumId w:val="8"/>
  </w:num>
  <w:num w:numId="105">
    <w:abstractNumId w:val="62"/>
  </w:num>
  <w:num w:numId="106">
    <w:abstractNumId w:val="76"/>
  </w:num>
  <w:num w:numId="107">
    <w:abstractNumId w:val="38"/>
  </w:num>
  <w:num w:numId="108">
    <w:abstractNumId w:val="43"/>
  </w:num>
  <w:num w:numId="109">
    <w:abstractNumId w:val="16"/>
  </w:num>
  <w:num w:numId="110">
    <w:abstractNumId w:val="19"/>
  </w:num>
  <w:num w:numId="111">
    <w:abstractNumId w:val="87"/>
  </w:num>
  <w:num w:numId="112">
    <w:abstractNumId w:val="6"/>
  </w:num>
  <w:num w:numId="113">
    <w:abstractNumId w:val="107"/>
  </w:num>
  <w:num w:numId="114">
    <w:abstractNumId w:val="3"/>
  </w:num>
  <w:num w:numId="115">
    <w:abstractNumId w:val="120"/>
  </w:num>
  <w:num w:numId="116">
    <w:abstractNumId w:val="14"/>
  </w:num>
  <w:num w:numId="117">
    <w:abstractNumId w:val="57"/>
  </w:num>
  <w:num w:numId="118">
    <w:abstractNumId w:val="91"/>
  </w:num>
  <w:num w:numId="119">
    <w:abstractNumId w:val="33"/>
  </w:num>
  <w:num w:numId="120">
    <w:abstractNumId w:val="73"/>
  </w:num>
  <w:num w:numId="121">
    <w:abstractNumId w:val="42"/>
  </w:num>
  <w:num w:numId="122">
    <w:abstractNumId w:val="70"/>
  </w:num>
  <w:num w:numId="123">
    <w:abstractNumId w:val="121"/>
  </w:num>
  <w:num w:numId="124">
    <w:abstractNumId w:val="41"/>
  </w:num>
  <w:num w:numId="125">
    <w:abstractNumId w:val="35"/>
  </w:num>
  <w:num w:numId="126">
    <w:abstractNumId w:val="12"/>
  </w:num>
  <w:num w:numId="127">
    <w:abstractNumId w:val="74"/>
  </w:num>
  <w:num w:numId="128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260E28CE"/>
    <w:rsid w:val="003752C8"/>
    <w:rsid w:val="003D4663"/>
    <w:rsid w:val="004672B9"/>
    <w:rsid w:val="005B3FA4"/>
    <w:rsid w:val="005D2EFA"/>
    <w:rsid w:val="00B8361D"/>
    <w:rsid w:val="00CB5A10"/>
    <w:rsid w:val="01FA65AD"/>
    <w:rsid w:val="03D35307"/>
    <w:rsid w:val="041B0E47"/>
    <w:rsid w:val="04C44C50"/>
    <w:rsid w:val="076631B2"/>
    <w:rsid w:val="078F7797"/>
    <w:rsid w:val="086329D2"/>
    <w:rsid w:val="09CC2DF8"/>
    <w:rsid w:val="09D41DD9"/>
    <w:rsid w:val="0B0C10FF"/>
    <w:rsid w:val="0B703F6E"/>
    <w:rsid w:val="0B7C07C5"/>
    <w:rsid w:val="0BA23811"/>
    <w:rsid w:val="0CAD06C0"/>
    <w:rsid w:val="0DB8738F"/>
    <w:rsid w:val="0E574F3A"/>
    <w:rsid w:val="0ED2440E"/>
    <w:rsid w:val="0EDD34DE"/>
    <w:rsid w:val="0EEF3211"/>
    <w:rsid w:val="0F6DBF9A"/>
    <w:rsid w:val="0FD91CA3"/>
    <w:rsid w:val="106612B1"/>
    <w:rsid w:val="10DA2F4F"/>
    <w:rsid w:val="119A7C4D"/>
    <w:rsid w:val="11EA4C32"/>
    <w:rsid w:val="126E1F36"/>
    <w:rsid w:val="13884674"/>
    <w:rsid w:val="13AB5C70"/>
    <w:rsid w:val="13B81E24"/>
    <w:rsid w:val="15C40D7D"/>
    <w:rsid w:val="15CD62EC"/>
    <w:rsid w:val="16AF3E05"/>
    <w:rsid w:val="16D91D2C"/>
    <w:rsid w:val="16FC471D"/>
    <w:rsid w:val="17976192"/>
    <w:rsid w:val="17BA5969"/>
    <w:rsid w:val="17BFAE9C"/>
    <w:rsid w:val="181141F9"/>
    <w:rsid w:val="18AB572D"/>
    <w:rsid w:val="193D56C0"/>
    <w:rsid w:val="19A54EA5"/>
    <w:rsid w:val="1AB84DFF"/>
    <w:rsid w:val="1B875FE3"/>
    <w:rsid w:val="1BB83309"/>
    <w:rsid w:val="1E403142"/>
    <w:rsid w:val="1EEB7551"/>
    <w:rsid w:val="1F274302"/>
    <w:rsid w:val="20801F1B"/>
    <w:rsid w:val="20B536CA"/>
    <w:rsid w:val="22812EA5"/>
    <w:rsid w:val="22934188"/>
    <w:rsid w:val="22F8048F"/>
    <w:rsid w:val="23007B89"/>
    <w:rsid w:val="23405970"/>
    <w:rsid w:val="2427640F"/>
    <w:rsid w:val="24613E12"/>
    <w:rsid w:val="252C08C4"/>
    <w:rsid w:val="25911A7F"/>
    <w:rsid w:val="260E28CE"/>
    <w:rsid w:val="2657371E"/>
    <w:rsid w:val="26630315"/>
    <w:rsid w:val="279B763B"/>
    <w:rsid w:val="27F54F9D"/>
    <w:rsid w:val="28042EE2"/>
    <w:rsid w:val="29381D5F"/>
    <w:rsid w:val="2B234836"/>
    <w:rsid w:val="2C057779"/>
    <w:rsid w:val="2CF55A3F"/>
    <w:rsid w:val="2D5269EE"/>
    <w:rsid w:val="313703D4"/>
    <w:rsid w:val="31B56FC4"/>
    <w:rsid w:val="31EE153F"/>
    <w:rsid w:val="327E5068"/>
    <w:rsid w:val="328E3AEB"/>
    <w:rsid w:val="32A55811"/>
    <w:rsid w:val="33AD2BD0"/>
    <w:rsid w:val="33ED32C6"/>
    <w:rsid w:val="342E2692"/>
    <w:rsid w:val="34A51AF9"/>
    <w:rsid w:val="34E1068D"/>
    <w:rsid w:val="35366A8F"/>
    <w:rsid w:val="36392E40"/>
    <w:rsid w:val="365B78F8"/>
    <w:rsid w:val="372A345A"/>
    <w:rsid w:val="382A4631"/>
    <w:rsid w:val="38961E84"/>
    <w:rsid w:val="38A76620"/>
    <w:rsid w:val="39A700C1"/>
    <w:rsid w:val="39D72754"/>
    <w:rsid w:val="39F8375E"/>
    <w:rsid w:val="3A5F3EFA"/>
    <w:rsid w:val="3BEE33D1"/>
    <w:rsid w:val="3C065573"/>
    <w:rsid w:val="3C073099"/>
    <w:rsid w:val="3C743CBC"/>
    <w:rsid w:val="3D177367"/>
    <w:rsid w:val="3DA23079"/>
    <w:rsid w:val="3DB44648"/>
    <w:rsid w:val="3DDA0420"/>
    <w:rsid w:val="3E6154F7"/>
    <w:rsid w:val="3EDC3BAB"/>
    <w:rsid w:val="3F1B7587"/>
    <w:rsid w:val="3F893335"/>
    <w:rsid w:val="3FCA68B7"/>
    <w:rsid w:val="3FDFCE98"/>
    <w:rsid w:val="400C2E81"/>
    <w:rsid w:val="404E573A"/>
    <w:rsid w:val="40BE635B"/>
    <w:rsid w:val="422F20E1"/>
    <w:rsid w:val="43061952"/>
    <w:rsid w:val="434C281A"/>
    <w:rsid w:val="434E115C"/>
    <w:rsid w:val="43CF06E2"/>
    <w:rsid w:val="43F712CB"/>
    <w:rsid w:val="44911A8D"/>
    <w:rsid w:val="45687946"/>
    <w:rsid w:val="45CF2E79"/>
    <w:rsid w:val="45E23E29"/>
    <w:rsid w:val="464949DA"/>
    <w:rsid w:val="47070DC3"/>
    <w:rsid w:val="47B55F78"/>
    <w:rsid w:val="47CA38F8"/>
    <w:rsid w:val="485A4EAF"/>
    <w:rsid w:val="49092879"/>
    <w:rsid w:val="493C25D4"/>
    <w:rsid w:val="49531A99"/>
    <w:rsid w:val="49D22F38"/>
    <w:rsid w:val="4B1A4B97"/>
    <w:rsid w:val="4B1A6945"/>
    <w:rsid w:val="4B38326F"/>
    <w:rsid w:val="4BF23C29"/>
    <w:rsid w:val="4C6836E0"/>
    <w:rsid w:val="4C8A18A8"/>
    <w:rsid w:val="4CFB09F8"/>
    <w:rsid w:val="4DB07E04"/>
    <w:rsid w:val="4DC332C4"/>
    <w:rsid w:val="4DC66CED"/>
    <w:rsid w:val="4E192EE4"/>
    <w:rsid w:val="4ED11A10"/>
    <w:rsid w:val="4EDD665B"/>
    <w:rsid w:val="4F017F13"/>
    <w:rsid w:val="4FAD5E0C"/>
    <w:rsid w:val="4FB03CE3"/>
    <w:rsid w:val="4FE15C83"/>
    <w:rsid w:val="4FE70635"/>
    <w:rsid w:val="52466271"/>
    <w:rsid w:val="5297293F"/>
    <w:rsid w:val="52990A97"/>
    <w:rsid w:val="53095C1D"/>
    <w:rsid w:val="530C3017"/>
    <w:rsid w:val="5355476F"/>
    <w:rsid w:val="535844AE"/>
    <w:rsid w:val="53FD18ED"/>
    <w:rsid w:val="54F16A77"/>
    <w:rsid w:val="550D7AB2"/>
    <w:rsid w:val="55235968"/>
    <w:rsid w:val="558639E2"/>
    <w:rsid w:val="559F602D"/>
    <w:rsid w:val="56344B4F"/>
    <w:rsid w:val="56B539C6"/>
    <w:rsid w:val="56C67981"/>
    <w:rsid w:val="56E37F83"/>
    <w:rsid w:val="573A1DB7"/>
    <w:rsid w:val="577218B7"/>
    <w:rsid w:val="5962291D"/>
    <w:rsid w:val="59A65848"/>
    <w:rsid w:val="5A09562C"/>
    <w:rsid w:val="5A0E58C7"/>
    <w:rsid w:val="5A3B286D"/>
    <w:rsid w:val="5AAE70AA"/>
    <w:rsid w:val="5BBD246D"/>
    <w:rsid w:val="5BF62AB6"/>
    <w:rsid w:val="5CF1327E"/>
    <w:rsid w:val="5D4979A9"/>
    <w:rsid w:val="5DC170F4"/>
    <w:rsid w:val="5EF631D4"/>
    <w:rsid w:val="5FA40A7B"/>
    <w:rsid w:val="60844B35"/>
    <w:rsid w:val="60B62814"/>
    <w:rsid w:val="6137288C"/>
    <w:rsid w:val="61513451"/>
    <w:rsid w:val="62EA49F7"/>
    <w:rsid w:val="63035AB9"/>
    <w:rsid w:val="639169B7"/>
    <w:rsid w:val="63B84AF5"/>
    <w:rsid w:val="63CB65D6"/>
    <w:rsid w:val="64AC6408"/>
    <w:rsid w:val="64F9082A"/>
    <w:rsid w:val="65507E7E"/>
    <w:rsid w:val="65EE7329"/>
    <w:rsid w:val="65FE7137"/>
    <w:rsid w:val="663743F7"/>
    <w:rsid w:val="66B47B91"/>
    <w:rsid w:val="671169F6"/>
    <w:rsid w:val="6953779A"/>
    <w:rsid w:val="69605A13"/>
    <w:rsid w:val="6AB27A4D"/>
    <w:rsid w:val="6ADE12E5"/>
    <w:rsid w:val="6B080110"/>
    <w:rsid w:val="6B70237D"/>
    <w:rsid w:val="6B7845E0"/>
    <w:rsid w:val="6B7E09EE"/>
    <w:rsid w:val="6D9640F9"/>
    <w:rsid w:val="6DCF3167"/>
    <w:rsid w:val="6E301E58"/>
    <w:rsid w:val="6EFEEB6A"/>
    <w:rsid w:val="6F600F73"/>
    <w:rsid w:val="716D5171"/>
    <w:rsid w:val="725F5851"/>
    <w:rsid w:val="72895FDA"/>
    <w:rsid w:val="729E5147"/>
    <w:rsid w:val="72BF3D7B"/>
    <w:rsid w:val="7388529A"/>
    <w:rsid w:val="74147B26"/>
    <w:rsid w:val="75306BE1"/>
    <w:rsid w:val="75722DB1"/>
    <w:rsid w:val="75AC3F78"/>
    <w:rsid w:val="77AE6D8F"/>
    <w:rsid w:val="77D54204"/>
    <w:rsid w:val="77FEE644"/>
    <w:rsid w:val="78715547"/>
    <w:rsid w:val="78C95383"/>
    <w:rsid w:val="78D21D5D"/>
    <w:rsid w:val="79254583"/>
    <w:rsid w:val="796E1A86"/>
    <w:rsid w:val="798D4E02"/>
    <w:rsid w:val="7B6E3FBF"/>
    <w:rsid w:val="7BB35E76"/>
    <w:rsid w:val="7C4411C4"/>
    <w:rsid w:val="7DBA34EC"/>
    <w:rsid w:val="7E81400A"/>
    <w:rsid w:val="7E924469"/>
    <w:rsid w:val="9FE707EA"/>
    <w:rsid w:val="9FFDC7AD"/>
    <w:rsid w:val="BFFF6676"/>
    <w:rsid w:val="CEFF5646"/>
    <w:rsid w:val="EE7BB656"/>
    <w:rsid w:val="FFF7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6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7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37804</Words>
  <Characters>41767</Characters>
  <Lines>0</Lines>
  <Paragraphs>0</Paragraphs>
  <TotalTime>0</TotalTime>
  <ScaleCrop>false</ScaleCrop>
  <LinksUpToDate>false</LinksUpToDate>
  <CharactersWithSpaces>42712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2025-03-07T18:22:00Z</dcterms:created>
  <dc:creator>解决方案</dc:creator>
  <cp:lastModifiedBy>rsj</cp:lastModifiedBy>
  <dcterms:modified xsi:type="dcterms:W3CDTF">2025-08-27T10:20:28Z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B3135C8C8C9E4E5696D53129310E1CFF_13</vt:lpwstr>
  </property>
  <property fmtid="{D5CDD505-2E9C-101B-9397-08002B2CF9AE}" pid="4" name="KSOTemplateDocerSaveRecord">
    <vt:lpwstr>eyJoZGlkIjoiM2Q3Mjc3NWIxNjkzYzYwM2VjOTY1OGFkOWZhYTFmZDAiLCJ1c2VySWQiOiIxNTA4MzkyNzY1In0=</vt:lpwstr>
  </property>
</Properties>
</file>