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68" w:rsidRPr="00EB4F68" w:rsidRDefault="00EB4F68" w:rsidP="00EB4F68">
      <w:pPr>
        <w:shd w:val="clear" w:color="auto" w:fill="FFFFFF"/>
        <w:spacing w:afterLines="150" w:after="468" w:line="252" w:lineRule="atLeast"/>
        <w:rPr>
          <w:rFonts w:ascii="微软雅黑" w:eastAsia="微软雅黑" w:hAnsi="微软雅黑" w:hint="eastAsia"/>
          <w:color w:val="111217"/>
          <w:kern w:val="0"/>
          <w:szCs w:val="21"/>
        </w:rPr>
      </w:pPr>
      <w:r>
        <w:rPr>
          <w:rFonts w:ascii="华文楷体" w:eastAsia="华文楷体" w:hAnsi="华文楷体" w:hint="eastAsia"/>
          <w:color w:val="111217"/>
          <w:sz w:val="30"/>
          <w:szCs w:val="30"/>
        </w:rPr>
        <w:t>中国金融科技最佳试验场等你来定义未来</w:t>
      </w:r>
    </w:p>
    <w:p w:rsidR="00EB4F68" w:rsidRDefault="00EB4F68" w:rsidP="00EB4F68">
      <w:pPr>
        <w:shd w:val="clear" w:color="auto" w:fill="FFFFFF"/>
        <w:spacing w:line="252" w:lineRule="atLeast"/>
        <w:jc w:val="center"/>
        <w:rPr>
          <w:rFonts w:ascii="微软雅黑" w:eastAsia="微软雅黑" w:hAnsi="微软雅黑" w:hint="eastAsia"/>
          <w:color w:val="111217"/>
          <w:szCs w:val="21"/>
        </w:rPr>
      </w:pPr>
      <w:r>
        <w:rPr>
          <w:rFonts w:ascii="方正小标宋简体" w:eastAsia="方正小标宋简体" w:hAnsi="微软雅黑" w:hint="eastAsia"/>
          <w:color w:val="111217"/>
          <w:sz w:val="36"/>
          <w:szCs w:val="36"/>
        </w:rPr>
        <w:t>招商银行博士后工作站2026年博士后研究人员招聘公告</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 </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招商银行1987年成立于中国改革开放的最前沿</w:t>
      </w:r>
      <w:r>
        <w:rPr>
          <w:rFonts w:hint="eastAsia"/>
          <w:color w:val="111217"/>
          <w:sz w:val="32"/>
          <w:szCs w:val="32"/>
        </w:rPr>
        <w:t>——</w:t>
      </w:r>
      <w:r>
        <w:rPr>
          <w:rFonts w:ascii="方正仿宋" w:eastAsia="方正仿宋" w:hAnsi="微软雅黑" w:hint="eastAsia"/>
          <w:color w:val="111217"/>
          <w:sz w:val="32"/>
          <w:szCs w:val="32"/>
        </w:rPr>
        <w:t>深圳蛇口，是中国境内第一家完全由企业法人持股的股份制商业银行。目前已发展成为沪港两地上市，在全球具有鲜明发展特色和重要市场影响力的银行集团，位列《银行家》全球银行千强榜单第8位。</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招商银行博士后科研工作站成立于2003年，于2009年获得独立招收和培养博士后资格。作为中国最佳商业银行高层次专业人才培养的平台，招商银行博士后工作站现面向境内外公开招收第23批（2026年）博士后研究人员。有关事项公告如下。</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 </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黑体" w:eastAsia="方正黑体" w:hAnsi="微软雅黑" w:hint="eastAsia"/>
          <w:color w:val="111217"/>
          <w:sz w:val="32"/>
          <w:szCs w:val="32"/>
        </w:rPr>
        <w:t>一、我们博士后研究方向和招收数量</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拟招收5人，申请人可从以下研究方向中任选一至两项申报：</w:t>
      </w:r>
    </w:p>
    <w:p w:rsidR="00EB4F68" w:rsidRDefault="00EB4F68" w:rsidP="00EB4F68">
      <w:pPr>
        <w:shd w:val="clear" w:color="auto" w:fill="FFFFFF"/>
        <w:ind w:firstLine="645"/>
        <w:rPr>
          <w:rFonts w:ascii="微软雅黑" w:eastAsia="微软雅黑" w:hAnsi="微软雅黑" w:hint="eastAsia"/>
          <w:color w:val="111217"/>
          <w:szCs w:val="21"/>
        </w:rPr>
      </w:pPr>
      <w:r>
        <w:rPr>
          <w:rFonts w:ascii="方正仿宋" w:eastAsia="方正仿宋" w:hAnsi="微软雅黑" w:hint="eastAsia"/>
          <w:color w:val="111217"/>
          <w:sz w:val="32"/>
          <w:szCs w:val="32"/>
        </w:rPr>
        <w:t>1.低利率环境下的商业银行风险管理研究</w:t>
      </w:r>
    </w:p>
    <w:p w:rsidR="00EB4F68" w:rsidRDefault="00EB4F68" w:rsidP="00EB4F68">
      <w:pPr>
        <w:shd w:val="clear" w:color="auto" w:fill="FFFFFF"/>
        <w:ind w:firstLine="645"/>
        <w:rPr>
          <w:rFonts w:ascii="微软雅黑" w:eastAsia="微软雅黑" w:hAnsi="微软雅黑" w:hint="eastAsia"/>
          <w:color w:val="111217"/>
          <w:szCs w:val="21"/>
        </w:rPr>
      </w:pPr>
      <w:r>
        <w:rPr>
          <w:rFonts w:ascii="方正仿宋" w:eastAsia="方正仿宋" w:hAnsi="微软雅黑" w:hint="eastAsia"/>
          <w:color w:val="111217"/>
          <w:sz w:val="32"/>
          <w:szCs w:val="32"/>
        </w:rPr>
        <w:t>2.商业银行中小企业经营策略研究</w:t>
      </w:r>
    </w:p>
    <w:p w:rsidR="00EB4F68" w:rsidRDefault="00EB4F68" w:rsidP="00EB4F68">
      <w:pPr>
        <w:shd w:val="clear" w:color="auto" w:fill="FFFFFF"/>
        <w:ind w:firstLine="645"/>
        <w:rPr>
          <w:rFonts w:ascii="微软雅黑" w:eastAsia="微软雅黑" w:hAnsi="微软雅黑" w:hint="eastAsia"/>
          <w:color w:val="111217"/>
          <w:szCs w:val="21"/>
        </w:rPr>
      </w:pPr>
      <w:r>
        <w:rPr>
          <w:rFonts w:ascii="方正仿宋" w:eastAsia="方正仿宋" w:hAnsi="微软雅黑" w:hint="eastAsia"/>
          <w:color w:val="111217"/>
          <w:sz w:val="32"/>
          <w:szCs w:val="32"/>
        </w:rPr>
        <w:t>3.适用中国市场约束条件的大类资产配置模型研究</w:t>
      </w:r>
    </w:p>
    <w:p w:rsidR="00EB4F68" w:rsidRDefault="00EB4F68" w:rsidP="00EB4F68">
      <w:pPr>
        <w:shd w:val="clear" w:color="auto" w:fill="FFFFFF"/>
        <w:ind w:firstLine="645"/>
        <w:rPr>
          <w:rFonts w:ascii="微软雅黑" w:eastAsia="微软雅黑" w:hAnsi="微软雅黑" w:hint="eastAsia"/>
          <w:color w:val="111217"/>
          <w:szCs w:val="21"/>
        </w:rPr>
      </w:pPr>
      <w:r>
        <w:rPr>
          <w:rFonts w:ascii="方正仿宋" w:eastAsia="方正仿宋" w:hAnsi="微软雅黑" w:hint="eastAsia"/>
          <w:color w:val="111217"/>
          <w:sz w:val="32"/>
          <w:szCs w:val="32"/>
        </w:rPr>
        <w:lastRenderedPageBreak/>
        <w:t>4.商业银行养老金融体系发展研究</w:t>
      </w:r>
    </w:p>
    <w:p w:rsidR="00EB4F68" w:rsidRDefault="00EB4F68" w:rsidP="00EB4F68">
      <w:pPr>
        <w:shd w:val="clear" w:color="auto" w:fill="FFFFFF"/>
        <w:ind w:firstLine="645"/>
        <w:rPr>
          <w:rFonts w:ascii="微软雅黑" w:eastAsia="微软雅黑" w:hAnsi="微软雅黑" w:hint="eastAsia"/>
          <w:color w:val="111217"/>
          <w:szCs w:val="21"/>
        </w:rPr>
      </w:pPr>
      <w:r>
        <w:rPr>
          <w:rFonts w:ascii="方正仿宋" w:eastAsia="方正仿宋" w:hAnsi="微软雅黑" w:hint="eastAsia"/>
          <w:color w:val="111217"/>
          <w:sz w:val="32"/>
          <w:szCs w:val="32"/>
        </w:rPr>
        <w:t>5.商业银行科技金融策略研究</w:t>
      </w:r>
    </w:p>
    <w:p w:rsidR="00EB4F68" w:rsidRDefault="00EB4F68" w:rsidP="00EB4F68">
      <w:pPr>
        <w:shd w:val="clear" w:color="auto" w:fill="FFFFFF"/>
        <w:ind w:firstLine="645"/>
        <w:rPr>
          <w:rFonts w:ascii="微软雅黑" w:eastAsia="微软雅黑" w:hAnsi="微软雅黑" w:hint="eastAsia"/>
          <w:color w:val="111217"/>
          <w:szCs w:val="21"/>
        </w:rPr>
      </w:pPr>
      <w:r>
        <w:rPr>
          <w:rFonts w:ascii="方正仿宋" w:eastAsia="方正仿宋" w:hAnsi="微软雅黑" w:hint="eastAsia"/>
          <w:color w:val="111217"/>
          <w:sz w:val="32"/>
          <w:szCs w:val="32"/>
        </w:rPr>
        <w:t>6.中资商业银行在境外市场发展策略研究</w:t>
      </w:r>
    </w:p>
    <w:p w:rsidR="00EB4F68" w:rsidRDefault="00EB4F68" w:rsidP="00EB4F68">
      <w:pPr>
        <w:shd w:val="clear" w:color="auto" w:fill="FFFFFF"/>
        <w:ind w:firstLine="645"/>
        <w:rPr>
          <w:rFonts w:ascii="微软雅黑" w:eastAsia="微软雅黑" w:hAnsi="微软雅黑" w:hint="eastAsia"/>
          <w:color w:val="111217"/>
          <w:szCs w:val="21"/>
        </w:rPr>
      </w:pPr>
      <w:r>
        <w:rPr>
          <w:rFonts w:ascii="方正仿宋" w:eastAsia="方正仿宋" w:hAnsi="微软雅黑" w:hint="eastAsia"/>
          <w:color w:val="111217"/>
          <w:sz w:val="32"/>
          <w:szCs w:val="32"/>
        </w:rPr>
        <w:t>7.地方政府招商引资和投融资模式研究</w:t>
      </w:r>
    </w:p>
    <w:p w:rsidR="00EB4F68" w:rsidRDefault="00EB4F68" w:rsidP="00EB4F68">
      <w:pPr>
        <w:shd w:val="clear" w:color="auto" w:fill="FFFFFF"/>
        <w:ind w:firstLine="645"/>
        <w:rPr>
          <w:rFonts w:ascii="微软雅黑" w:eastAsia="微软雅黑" w:hAnsi="微软雅黑" w:hint="eastAsia"/>
          <w:color w:val="111217"/>
          <w:szCs w:val="21"/>
        </w:rPr>
      </w:pPr>
      <w:r>
        <w:rPr>
          <w:rFonts w:ascii="方正仿宋" w:eastAsia="方正仿宋" w:hAnsi="微软雅黑" w:hint="eastAsia"/>
          <w:color w:val="111217"/>
          <w:sz w:val="32"/>
          <w:szCs w:val="32"/>
        </w:rPr>
        <w:t>8.商业银行数智化服务创新路径研究</w:t>
      </w:r>
    </w:p>
    <w:p w:rsidR="00EB4F68" w:rsidRDefault="00EB4F68" w:rsidP="00EB4F68">
      <w:pPr>
        <w:shd w:val="clear" w:color="auto" w:fill="FFFFFF"/>
        <w:ind w:firstLine="645"/>
        <w:rPr>
          <w:rFonts w:ascii="微软雅黑" w:eastAsia="微软雅黑" w:hAnsi="微软雅黑" w:hint="eastAsia"/>
          <w:color w:val="111217"/>
          <w:szCs w:val="21"/>
        </w:rPr>
      </w:pPr>
      <w:r>
        <w:rPr>
          <w:rFonts w:ascii="方正仿宋" w:eastAsia="方正仿宋" w:hAnsi="微软雅黑" w:hint="eastAsia"/>
          <w:color w:val="111217"/>
          <w:sz w:val="32"/>
          <w:szCs w:val="32"/>
        </w:rPr>
        <w:t>9．商业银行数字资产业务机遇研究</w:t>
      </w:r>
    </w:p>
    <w:p w:rsidR="00EB4F68" w:rsidRDefault="00EB4F68" w:rsidP="00EB4F68">
      <w:pPr>
        <w:shd w:val="clear" w:color="auto" w:fill="FFFFFF"/>
        <w:ind w:firstLine="645"/>
        <w:rPr>
          <w:rFonts w:ascii="微软雅黑" w:eastAsia="微软雅黑" w:hAnsi="微软雅黑" w:hint="eastAsia"/>
          <w:color w:val="111217"/>
          <w:szCs w:val="21"/>
        </w:rPr>
      </w:pPr>
      <w:r>
        <w:rPr>
          <w:rFonts w:ascii="方正黑体" w:eastAsia="方正黑体" w:hAnsi="微软雅黑" w:hint="eastAsia"/>
          <w:color w:val="111217"/>
          <w:sz w:val="32"/>
          <w:szCs w:val="32"/>
        </w:rPr>
        <w:t> </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黑体" w:eastAsia="方正黑体" w:hAnsi="微软雅黑" w:hint="eastAsia"/>
          <w:color w:val="111217"/>
          <w:sz w:val="32"/>
          <w:szCs w:val="32"/>
        </w:rPr>
        <w:t>二、我们期待这样的你</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1.具有良好的政治素质和道德修养，遵纪守法，品学兼优；</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2.</w:t>
      </w:r>
      <w:bookmarkStart w:id="0" w:name="_GoBack"/>
      <w:bookmarkEnd w:id="0"/>
      <w:r>
        <w:rPr>
          <w:rFonts w:ascii="方正仿宋" w:eastAsia="方正仿宋" w:hAnsi="微软雅黑" w:hint="eastAsia"/>
          <w:color w:val="111217"/>
          <w:sz w:val="32"/>
          <w:szCs w:val="32"/>
        </w:rPr>
        <w:t>近两年在境内外获得博士学位或2026年毕业的博士研究生，具有经济、金融、管理、计算机、人工智能、数学等课题相关专业的知识背景，有交叉学科背景者优先；</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3.热爱研究，更敬畏实践，兼具学术严谨性与商业洞察力；</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4.追求人格持续完善，愿以专业能力推动金融业进化与普惠。具备全脱产从事博士后研究工作的条件。</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 </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黑体" w:eastAsia="方正黑体" w:hAnsi="微软雅黑" w:hint="eastAsia"/>
          <w:color w:val="111217"/>
          <w:sz w:val="32"/>
          <w:szCs w:val="32"/>
        </w:rPr>
        <w:t>三、在这里，你将获得什么</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你将深度融入粤港澳大湾区建设，直面金融科技前沿战场，获得业界和学界顶级导师天团的双重赋能；</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独家设计总分行跨部门轮岗+项目实践的“招银培养模</w:t>
      </w:r>
      <w:r>
        <w:rPr>
          <w:rFonts w:ascii="方正仿宋" w:eastAsia="方正仿宋" w:hAnsi="微软雅黑" w:hint="eastAsia"/>
          <w:color w:val="111217"/>
          <w:sz w:val="32"/>
          <w:szCs w:val="32"/>
        </w:rPr>
        <w:lastRenderedPageBreak/>
        <w:t>式”，打破产学研壁垒，让你的研究成果将直接应用于中国最佳商业银行集团的业务场景；</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匹配你学术价值与专业贡献的薪酬福利，让你安心扎根深圳、专注研究；</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职业通关留用计划+全方位人文关怀，构建的职业发展生态，为你打造独一无二的科研与职业成长平台。</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黑体" w:eastAsia="方正黑体" w:hAnsi="微软雅黑" w:hint="eastAsia"/>
          <w:color w:val="111217"/>
          <w:sz w:val="32"/>
          <w:szCs w:val="32"/>
        </w:rPr>
        <w:t>我们的薪酬福利政策有</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1.更灵活的机制，市场化且具有竞争力的薪酬福利待遇，人文关怀和家园文化。博士后研究人员完成2年在站期间研究任务，通过定期考核和出站评审，且符合相应条件的，录用为招商银行员工。</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2.符合条件的博士后人员在站期间可享受深圳市36万元生活补助，出站后留深工作并签订3年以上劳动合同再享受36万元生活补助。</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3.在站期间获得博士后创新人才支持计划或中国博士后科学基金特别资助的优秀博士后人员，以及获得全国或广东省博士后创新创业大赛金奖、银奖、铜奖的，出站留深并签订3年以上劳动合同，深圳市再按国家资助标准给予1:1经费资助。</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 </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黑体" w:eastAsia="方正黑体" w:hAnsi="微软雅黑" w:hint="eastAsia"/>
          <w:color w:val="111217"/>
          <w:sz w:val="32"/>
          <w:szCs w:val="32"/>
        </w:rPr>
        <w:t>四、我们的报名方式</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1.申请人请于2025年</w:t>
      </w:r>
      <w:r>
        <w:rPr>
          <w:rStyle w:val="ab"/>
          <w:rFonts w:ascii="方正仿宋" w:eastAsia="方正仿宋" w:hAnsi="微软雅黑" w:hint="eastAsia"/>
          <w:color w:val="E03E2D"/>
          <w:sz w:val="32"/>
          <w:szCs w:val="32"/>
        </w:rPr>
        <w:t>10月10日</w:t>
      </w:r>
      <w:r>
        <w:rPr>
          <w:rFonts w:ascii="方正仿宋" w:eastAsia="方正仿宋" w:hAnsi="微软雅黑" w:hint="eastAsia"/>
          <w:color w:val="111217"/>
          <w:sz w:val="32"/>
          <w:szCs w:val="32"/>
        </w:rPr>
        <w:t>前登录招商银行官方</w:t>
      </w:r>
      <w:r>
        <w:rPr>
          <w:rFonts w:ascii="方正仿宋" w:eastAsia="方正仿宋" w:hAnsi="微软雅黑" w:hint="eastAsia"/>
          <w:color w:val="111217"/>
          <w:sz w:val="32"/>
          <w:szCs w:val="32"/>
        </w:rPr>
        <w:lastRenderedPageBreak/>
        <w:t>招聘网站（</w:t>
      </w:r>
      <w:hyperlink r:id="rId6" w:history="1">
        <w:r>
          <w:rPr>
            <w:rStyle w:val="a9"/>
            <w:rFonts w:ascii="微软雅黑" w:eastAsia="微软雅黑" w:hAnsi="微软雅黑" w:hint="eastAsia"/>
            <w:color w:val="C8152D"/>
            <w:sz w:val="32"/>
            <w:szCs w:val="32"/>
          </w:rPr>
          <w:t>http://career.cmbchina.com</w:t>
        </w:r>
      </w:hyperlink>
      <w:r>
        <w:rPr>
          <w:rFonts w:ascii="方正仿宋" w:eastAsia="方正仿宋" w:hAnsi="微软雅黑" w:hint="eastAsia"/>
          <w:color w:val="111217"/>
          <w:sz w:val="32"/>
          <w:szCs w:val="32"/>
        </w:rPr>
        <w:t>），搜索博士后，在线投递简历并于</w:t>
      </w:r>
      <w:r>
        <w:rPr>
          <w:rStyle w:val="ab"/>
          <w:rFonts w:ascii="方正仿宋" w:eastAsia="方正仿宋" w:hAnsi="微软雅黑" w:hint="eastAsia"/>
          <w:color w:val="E03E2D"/>
          <w:sz w:val="32"/>
          <w:szCs w:val="32"/>
        </w:rPr>
        <w:t>10月20日</w:t>
      </w:r>
      <w:r>
        <w:rPr>
          <w:rFonts w:ascii="方正仿宋" w:eastAsia="方正仿宋" w:hAnsi="微软雅黑" w:hint="eastAsia"/>
          <w:color w:val="111217"/>
          <w:sz w:val="32"/>
          <w:szCs w:val="32"/>
        </w:rPr>
        <w:t>前将其余申请材料的电子版发送至招聘邮箱</w:t>
      </w:r>
      <w:hyperlink r:id="rId7" w:history="1">
        <w:r>
          <w:rPr>
            <w:rStyle w:val="a9"/>
            <w:rFonts w:ascii="方正仿宋" w:eastAsia="方正仿宋" w:hAnsi="微软雅黑" w:hint="eastAsia"/>
            <w:color w:val="000000"/>
            <w:sz w:val="32"/>
            <w:szCs w:val="32"/>
          </w:rPr>
          <w:t>boshihougzz@cmbchina.com</w:t>
        </w:r>
      </w:hyperlink>
      <w:r>
        <w:rPr>
          <w:rFonts w:ascii="方正仿宋" w:eastAsia="方正仿宋" w:hAnsi="微软雅黑" w:hint="eastAsia"/>
          <w:color w:val="111217"/>
          <w:sz w:val="32"/>
          <w:szCs w:val="32"/>
        </w:rPr>
        <w:t>，邮件标题命名为“姓名-博士毕业院校”。</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(1)《博士后申请表》（下载链接</w:t>
      </w:r>
      <w:hyperlink r:id="rId8" w:history="1">
        <w:r>
          <w:rPr>
            <w:rStyle w:val="a9"/>
            <w:rFonts w:ascii="微软雅黑" w:eastAsia="微软雅黑" w:hAnsi="微软雅黑" w:hint="eastAsia"/>
            <w:color w:val="C8152D"/>
            <w:sz w:val="32"/>
            <w:szCs w:val="32"/>
          </w:rPr>
          <w:t>https://kdocs.cn/l/csQwasQ9nFfq</w:t>
        </w:r>
      </w:hyperlink>
      <w:r>
        <w:rPr>
          <w:rFonts w:ascii="方正仿宋" w:eastAsia="方正仿宋" w:hAnsi="微软雅黑" w:hint="eastAsia"/>
          <w:color w:val="111217"/>
          <w:sz w:val="32"/>
          <w:szCs w:val="32"/>
        </w:rPr>
        <w:t>）、个人简历；</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(2)两位本学科领域博士生导师的推荐信(其中一位须为本人的博士生导师)；</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(3)研究计划书（3000字以上，格式不限，每人最多可选报两个研究方向，选报两个研究方向须提供两份研究计划书）；</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(4)博士研究生毕业证和学位证或2026年上半年博士毕业证明材料(由学生所在学校开具)；</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(5)博士论文、两篇代表作(应届毕业博士生提交博士论文初稿)；</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(6)个人免冠2寸电子版照片；</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招行博士后工作站将及时、妥善处理应聘信息，并履行保密义务，简历恕不退还。</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2.采取“公开考试、择优录取”的方式，公开、公平、公正地招收博士后研究人员，初审合格者将参加笔试和面试（具体时间及考试内容另行通知）。</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 </w:t>
      </w:r>
    </w:p>
    <w:p w:rsidR="00EB4F68" w:rsidRDefault="00EB4F68" w:rsidP="00EB4F68">
      <w:pPr>
        <w:shd w:val="clear" w:color="auto" w:fill="FFFFFF"/>
        <w:spacing w:line="252" w:lineRule="atLeast"/>
        <w:rPr>
          <w:rFonts w:ascii="微软雅黑" w:eastAsia="微软雅黑" w:hAnsi="微软雅黑" w:hint="eastAsia"/>
          <w:color w:val="111217"/>
          <w:szCs w:val="21"/>
        </w:rPr>
      </w:pPr>
      <w:r>
        <w:rPr>
          <w:rStyle w:val="ab"/>
          <w:rFonts w:ascii="方正仿宋" w:eastAsia="方正仿宋" w:hAnsi="微软雅黑" w:hint="eastAsia"/>
          <w:color w:val="111217"/>
          <w:sz w:val="32"/>
          <w:szCs w:val="32"/>
        </w:rPr>
        <w:lastRenderedPageBreak/>
        <w:t> </w:t>
      </w:r>
      <w:r>
        <w:rPr>
          <w:rStyle w:val="ab"/>
          <w:rFonts w:ascii="方正仿宋" w:eastAsia="方正仿宋" w:hAnsi="微软雅黑" w:hint="eastAsia"/>
          <w:color w:val="111217"/>
          <w:sz w:val="32"/>
          <w:szCs w:val="32"/>
        </w:rPr>
        <w:t xml:space="preserve"> </w:t>
      </w:r>
      <w:r>
        <w:rPr>
          <w:rStyle w:val="ab"/>
          <w:rFonts w:ascii="方正仿宋" w:eastAsia="方正仿宋" w:hAnsi="微软雅黑" w:hint="eastAsia"/>
          <w:color w:val="111217"/>
          <w:sz w:val="32"/>
          <w:szCs w:val="32"/>
        </w:rPr>
        <w:t> </w:t>
      </w:r>
      <w:r>
        <w:rPr>
          <w:rStyle w:val="ab"/>
          <w:rFonts w:ascii="方正仿宋" w:eastAsia="方正仿宋" w:hAnsi="微软雅黑" w:hint="eastAsia"/>
          <w:color w:val="111217"/>
          <w:sz w:val="32"/>
          <w:szCs w:val="32"/>
        </w:rPr>
        <w:t xml:space="preserve"> 招商银行博士后工作站，不仅是科研平台，更是你职业起飞的跑道。在这里，学术卓越和职业成功，我们全都要！</w:t>
      </w:r>
    </w:p>
    <w:p w:rsidR="00EB4F68" w:rsidRDefault="00EB4F68" w:rsidP="00EB4F68">
      <w:pPr>
        <w:shd w:val="clear" w:color="auto" w:fill="FFFFFF"/>
        <w:spacing w:line="252" w:lineRule="atLeast"/>
        <w:ind w:firstLine="640"/>
        <w:rPr>
          <w:rFonts w:ascii="微软雅黑" w:eastAsia="微软雅黑" w:hAnsi="微软雅黑" w:hint="eastAsia"/>
          <w:color w:val="111217"/>
          <w:szCs w:val="21"/>
        </w:rPr>
      </w:pPr>
      <w:r>
        <w:rPr>
          <w:rFonts w:ascii="方正仿宋" w:eastAsia="方正仿宋" w:hAnsi="微软雅黑" w:hint="eastAsia"/>
          <w:color w:val="111217"/>
          <w:sz w:val="32"/>
          <w:szCs w:val="32"/>
        </w:rPr>
        <w:t>如有任何疑问，欢迎联系我们。</w:t>
      </w:r>
    </w:p>
    <w:p w:rsidR="00EB4F68" w:rsidRDefault="00EB4F68" w:rsidP="00EB4F68">
      <w:pPr>
        <w:shd w:val="clear" w:color="auto" w:fill="FFFFFF"/>
        <w:spacing w:line="252" w:lineRule="atLeast"/>
        <w:ind w:firstLine="643"/>
        <w:rPr>
          <w:rFonts w:ascii="微软雅黑" w:eastAsia="微软雅黑" w:hAnsi="微软雅黑" w:hint="eastAsia"/>
          <w:color w:val="111217"/>
          <w:szCs w:val="21"/>
        </w:rPr>
      </w:pPr>
      <w:r>
        <w:rPr>
          <w:rStyle w:val="ab"/>
          <w:rFonts w:ascii="方正仿宋" w:eastAsia="方正仿宋" w:hAnsi="微软雅黑" w:hint="eastAsia"/>
          <w:color w:val="111217"/>
          <w:sz w:val="32"/>
          <w:szCs w:val="32"/>
        </w:rPr>
        <w:t>工作地址：</w:t>
      </w:r>
      <w:r>
        <w:rPr>
          <w:rFonts w:ascii="方正仿宋" w:eastAsia="方正仿宋" w:hAnsi="微软雅黑" w:hint="eastAsia"/>
          <w:color w:val="111217"/>
          <w:sz w:val="32"/>
          <w:szCs w:val="32"/>
        </w:rPr>
        <w:t>广东省深圳市福田区深南大道7088号，招商银行大厦16楼博士后科研工作站</w:t>
      </w:r>
    </w:p>
    <w:p w:rsidR="00EB4F68" w:rsidRDefault="00EB4F68" w:rsidP="00EB4F68">
      <w:pPr>
        <w:shd w:val="clear" w:color="auto" w:fill="FFFFFF"/>
        <w:spacing w:line="252" w:lineRule="atLeast"/>
        <w:ind w:firstLine="643"/>
        <w:rPr>
          <w:rFonts w:ascii="微软雅黑" w:eastAsia="微软雅黑" w:hAnsi="微软雅黑" w:hint="eastAsia"/>
          <w:color w:val="111217"/>
          <w:szCs w:val="21"/>
        </w:rPr>
      </w:pPr>
      <w:r>
        <w:rPr>
          <w:rStyle w:val="ab"/>
          <w:rFonts w:ascii="方正仿宋" w:eastAsia="方正仿宋" w:hAnsi="微软雅黑" w:hint="eastAsia"/>
          <w:color w:val="111217"/>
          <w:sz w:val="32"/>
          <w:szCs w:val="32"/>
        </w:rPr>
        <w:t>E-mail：</w:t>
      </w:r>
      <w:hyperlink r:id="rId9" w:history="1">
        <w:r>
          <w:rPr>
            <w:rStyle w:val="a9"/>
            <w:rFonts w:ascii="方正仿宋" w:eastAsia="方正仿宋" w:hAnsi="微软雅黑" w:hint="eastAsia"/>
            <w:color w:val="000000"/>
            <w:sz w:val="32"/>
            <w:szCs w:val="32"/>
          </w:rPr>
          <w:t>boshihougzz@cmbchina.com</w:t>
        </w:r>
      </w:hyperlink>
      <w:r>
        <w:rPr>
          <w:rFonts w:ascii="方正仿宋" w:eastAsia="方正仿宋" w:hAnsi="微软雅黑" w:hint="eastAsia"/>
          <w:color w:val="111217"/>
          <w:sz w:val="32"/>
          <w:szCs w:val="32"/>
        </w:rPr>
        <w:t>  </w:t>
      </w:r>
    </w:p>
    <w:p w:rsidR="00403992" w:rsidRPr="00EB4F68" w:rsidRDefault="00403992">
      <w:pPr>
        <w:adjustRightInd w:val="0"/>
        <w:snapToGrid w:val="0"/>
        <w:spacing w:line="288" w:lineRule="auto"/>
        <w:rPr>
          <w:rFonts w:ascii="方正仿宋" w:eastAsia="方正仿宋" w:hAnsi="宋体"/>
          <w:sz w:val="32"/>
          <w:szCs w:val="32"/>
        </w:rPr>
      </w:pPr>
    </w:p>
    <w:sectPr w:rsidR="00403992" w:rsidRPr="00EB4F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F6F" w:rsidRDefault="00A34F6F" w:rsidP="0092755B">
      <w:r>
        <w:separator/>
      </w:r>
    </w:p>
  </w:endnote>
  <w:endnote w:type="continuationSeparator" w:id="0">
    <w:p w:rsidR="00A34F6F" w:rsidRDefault="00A34F6F" w:rsidP="0092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方正仿宋">
    <w:altName w:val="微软雅黑"/>
    <w:panose1 w:val="03000509000000000000"/>
    <w:charset w:val="86"/>
    <w:family w:val="script"/>
    <w:pitch w:val="fixed"/>
    <w:sig w:usb0="00000001" w:usb1="080E0000" w:usb2="00000010" w:usb3="00000000" w:csb0="00040000" w:csb1="00000000"/>
  </w:font>
  <w:font w:name="方正黑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F6F" w:rsidRDefault="00A34F6F" w:rsidP="0092755B">
      <w:r>
        <w:separator/>
      </w:r>
    </w:p>
  </w:footnote>
  <w:footnote w:type="continuationSeparator" w:id="0">
    <w:p w:rsidR="00A34F6F" w:rsidRDefault="00A34F6F" w:rsidP="00927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28"/>
    <w:rsid w:val="0003030B"/>
    <w:rsid w:val="000561EE"/>
    <w:rsid w:val="00096C19"/>
    <w:rsid w:val="000A7969"/>
    <w:rsid w:val="000E38F3"/>
    <w:rsid w:val="000F6694"/>
    <w:rsid w:val="00122DC9"/>
    <w:rsid w:val="00123139"/>
    <w:rsid w:val="00181598"/>
    <w:rsid w:val="001851E0"/>
    <w:rsid w:val="001A2DCB"/>
    <w:rsid w:val="001F3EA6"/>
    <w:rsid w:val="00201645"/>
    <w:rsid w:val="00205EDA"/>
    <w:rsid w:val="00230487"/>
    <w:rsid w:val="00234A25"/>
    <w:rsid w:val="00285C3D"/>
    <w:rsid w:val="002B0CAF"/>
    <w:rsid w:val="002C71F3"/>
    <w:rsid w:val="00315AEB"/>
    <w:rsid w:val="00323006"/>
    <w:rsid w:val="003236C4"/>
    <w:rsid w:val="00330025"/>
    <w:rsid w:val="00341D2E"/>
    <w:rsid w:val="0036075A"/>
    <w:rsid w:val="00362394"/>
    <w:rsid w:val="003703C0"/>
    <w:rsid w:val="00394A11"/>
    <w:rsid w:val="003F36A8"/>
    <w:rsid w:val="00403992"/>
    <w:rsid w:val="00434E18"/>
    <w:rsid w:val="00460E0B"/>
    <w:rsid w:val="00485B03"/>
    <w:rsid w:val="004C6DE4"/>
    <w:rsid w:val="004F4084"/>
    <w:rsid w:val="004F495C"/>
    <w:rsid w:val="004F4A24"/>
    <w:rsid w:val="005324AD"/>
    <w:rsid w:val="00541A28"/>
    <w:rsid w:val="00542F78"/>
    <w:rsid w:val="005654C8"/>
    <w:rsid w:val="00581476"/>
    <w:rsid w:val="00584BB2"/>
    <w:rsid w:val="005A7C28"/>
    <w:rsid w:val="005C539D"/>
    <w:rsid w:val="005E27B4"/>
    <w:rsid w:val="006200EB"/>
    <w:rsid w:val="00625DD6"/>
    <w:rsid w:val="00642E6F"/>
    <w:rsid w:val="00662CF2"/>
    <w:rsid w:val="006642E1"/>
    <w:rsid w:val="00686144"/>
    <w:rsid w:val="00690350"/>
    <w:rsid w:val="006D0100"/>
    <w:rsid w:val="006D6D12"/>
    <w:rsid w:val="006E1FFA"/>
    <w:rsid w:val="006F3201"/>
    <w:rsid w:val="007107C1"/>
    <w:rsid w:val="00712AA7"/>
    <w:rsid w:val="00727A65"/>
    <w:rsid w:val="00743BA8"/>
    <w:rsid w:val="007704A2"/>
    <w:rsid w:val="00777370"/>
    <w:rsid w:val="00780312"/>
    <w:rsid w:val="00780E97"/>
    <w:rsid w:val="007C0FDC"/>
    <w:rsid w:val="0080006D"/>
    <w:rsid w:val="00825661"/>
    <w:rsid w:val="00830757"/>
    <w:rsid w:val="00830BE9"/>
    <w:rsid w:val="00860048"/>
    <w:rsid w:val="00873243"/>
    <w:rsid w:val="008C7347"/>
    <w:rsid w:val="0092755B"/>
    <w:rsid w:val="009373BD"/>
    <w:rsid w:val="00980DA0"/>
    <w:rsid w:val="00982C2A"/>
    <w:rsid w:val="009C6308"/>
    <w:rsid w:val="00A06E0D"/>
    <w:rsid w:val="00A34F6F"/>
    <w:rsid w:val="00A77503"/>
    <w:rsid w:val="00A8380D"/>
    <w:rsid w:val="00AA193B"/>
    <w:rsid w:val="00AA625D"/>
    <w:rsid w:val="00AB0365"/>
    <w:rsid w:val="00AD401B"/>
    <w:rsid w:val="00AF3351"/>
    <w:rsid w:val="00AF7319"/>
    <w:rsid w:val="00B508D2"/>
    <w:rsid w:val="00BA2501"/>
    <w:rsid w:val="00BB26A6"/>
    <w:rsid w:val="00C10E14"/>
    <w:rsid w:val="00C75547"/>
    <w:rsid w:val="00C845B1"/>
    <w:rsid w:val="00C91AE3"/>
    <w:rsid w:val="00CA1090"/>
    <w:rsid w:val="00CA59D6"/>
    <w:rsid w:val="00CB46B3"/>
    <w:rsid w:val="00CE643D"/>
    <w:rsid w:val="00CE7439"/>
    <w:rsid w:val="00D010CA"/>
    <w:rsid w:val="00D05BA2"/>
    <w:rsid w:val="00D164C9"/>
    <w:rsid w:val="00D17BFE"/>
    <w:rsid w:val="00D27475"/>
    <w:rsid w:val="00D469A8"/>
    <w:rsid w:val="00D830AF"/>
    <w:rsid w:val="00DB6B4F"/>
    <w:rsid w:val="00DC5F88"/>
    <w:rsid w:val="00E0189C"/>
    <w:rsid w:val="00E01D66"/>
    <w:rsid w:val="00E106CF"/>
    <w:rsid w:val="00E112CE"/>
    <w:rsid w:val="00E24095"/>
    <w:rsid w:val="00E26C29"/>
    <w:rsid w:val="00E47E0C"/>
    <w:rsid w:val="00E51E79"/>
    <w:rsid w:val="00E85355"/>
    <w:rsid w:val="00EB4F68"/>
    <w:rsid w:val="00EC7BBB"/>
    <w:rsid w:val="00ED3319"/>
    <w:rsid w:val="00ED7B13"/>
    <w:rsid w:val="00EF3BE3"/>
    <w:rsid w:val="00F15E16"/>
    <w:rsid w:val="00F470A5"/>
    <w:rsid w:val="00F54BBB"/>
    <w:rsid w:val="00F915FA"/>
    <w:rsid w:val="00F94E6D"/>
    <w:rsid w:val="00FA683D"/>
    <w:rsid w:val="00FC760A"/>
    <w:rsid w:val="00FF3390"/>
    <w:rsid w:val="5CA0366E"/>
    <w:rsid w:val="6852796A"/>
    <w:rsid w:val="726F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077FB"/>
  <w15:docId w15:val="{7F0C4EA1-7D17-44CB-8491-EA16106B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a">
    <w:name w:val="List Paragraph"/>
    <w:basedOn w:val="a"/>
    <w:uiPriority w:val="34"/>
    <w:qFormat/>
    <w:pPr>
      <w:ind w:firstLineChars="200" w:firstLine="420"/>
    </w:pPr>
  </w:style>
  <w:style w:type="character" w:styleId="ab">
    <w:name w:val="Strong"/>
    <w:basedOn w:val="a0"/>
    <w:uiPriority w:val="22"/>
    <w:qFormat/>
    <w:rsid w:val="00EB4F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644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docs.cn/l/csQwasQ9nFfq" TargetMode="External"/><Relationship Id="rId3" Type="http://schemas.openxmlformats.org/officeDocument/2006/relationships/webSettings" Target="webSettings.xml"/><Relationship Id="rId7" Type="http://schemas.openxmlformats.org/officeDocument/2006/relationships/hyperlink" Target="mailto:boshihougzz@cmbchin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reer.cmbchina.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oshihougzz@cmbch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298</Words>
  <Characters>1701</Characters>
  <Application>Microsoft Office Word</Application>
  <DocSecurity>0</DocSecurity>
  <Lines>14</Lines>
  <Paragraphs>3</Paragraphs>
  <ScaleCrop>false</ScaleCrop>
  <Company>cmbchina</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陈文娟/01172409</cp:lastModifiedBy>
  <cp:revision>5</cp:revision>
  <cp:lastPrinted>2025-09-10T02:10:00Z</cp:lastPrinted>
  <dcterms:created xsi:type="dcterms:W3CDTF">2025-09-11T08:36:00Z</dcterms:created>
  <dcterms:modified xsi:type="dcterms:W3CDTF">2025-09-11T09:07:00Z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DocId">
    <vt:lpwstr>zjZO0kBf</vt:lpwstr>
  </property>
  <property fmtid="{D5CDD505-2E9C-101B-9397-08002B2CF9AE}" pid="3" name="KSOProductBuildVer">
    <vt:lpwstr>2052-11.8.2.12085</vt:lpwstr>
  </property>
  <property fmtid="{D5CDD505-2E9C-101B-9397-08002B2CF9AE}" pid="4" name="ICV">
    <vt:lpwstr>D313BA06A3A74338B0AB18D2B2FA89C9</vt:lpwstr>
  </property>
</Properties>
</file>