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beforeLines="0" w:afterLines="0" w:line="580" w:lineRule="exact"/>
        <w:textAlignment w:val="auto"/>
        <w:rPr>
          <w:rFonts w:hint="default" w:ascii="方正黑体_GBK" w:hAnsi="方正黑体_GBK" w:eastAsia="方正黑体_GBK" w:cs="方正黑体_GBK"/>
          <w:i w:val="0"/>
          <w:iCs w:val="0"/>
          <w:sz w:val="32"/>
          <w:szCs w:val="32"/>
          <w:lang w:val="en-US" w:eastAsia="zh-CN"/>
        </w:rPr>
      </w:pPr>
      <w:r>
        <w:rPr>
          <w:rFonts w:hint="eastAsia" w:ascii="黑体" w:hAnsi="黑体" w:eastAsia="黑体" w:cs="黑体"/>
          <w:i w:val="0"/>
          <w:iCs w:val="0"/>
          <w:sz w:val="32"/>
          <w:szCs w:val="32"/>
          <w:lang w:val="en-US" w:eastAsia="zh-CN"/>
        </w:rPr>
        <w:t>附件1</w:t>
      </w:r>
    </w:p>
    <w:p>
      <w:pPr>
        <w:keepNext/>
        <w:keepLines/>
        <w:widowControl/>
        <w:adjustRightInd w:val="0"/>
        <w:spacing w:before="0" w:beforeLines="0" w:after="0" w:afterLines="0" w:line="580" w:lineRule="exact"/>
        <w:jc w:val="center"/>
        <w:textAlignment w:val="baseline"/>
        <w:outlineLvl w:val="1"/>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特别警示条款</w:t>
      </w:r>
    </w:p>
    <w:p>
      <w:pPr>
        <w:pStyle w:val="2"/>
        <w:rPr>
          <w:rFonts w:hint="eastAsia" w:ascii="Calibri" w:hAnsi="Calibri" w:eastAsia="宋体"/>
          <w:bCs w:val="0"/>
          <w:kern w:val="2"/>
          <w:sz w:val="21"/>
          <w:szCs w:val="24"/>
        </w:rPr>
      </w:pPr>
    </w:p>
    <w:p>
      <w:pPr>
        <w:widowControl/>
        <w:spacing w:beforeLines="0" w:after="0" w:afterLines="0" w:line="580" w:lineRule="exact"/>
        <w:ind w:firstLine="562" w:firstLineChars="200"/>
        <w:jc w:val="left"/>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76" w:type="pct"/>
            <w:noWrap w:val="0"/>
            <w:vAlign w:val="center"/>
          </w:tcPr>
          <w:p>
            <w:pPr>
              <w:spacing w:beforeLines="0" w:afterLines="0" w:line="58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序号</w:t>
            </w:r>
          </w:p>
        </w:tc>
        <w:tc>
          <w:tcPr>
            <w:tcW w:w="4524" w:type="pct"/>
            <w:noWrap w:val="0"/>
            <w:vAlign w:val="center"/>
          </w:tcPr>
          <w:p>
            <w:pPr>
              <w:spacing w:beforeLines="0" w:afterLines="0" w:line="58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6" w:type="pct"/>
            <w:noWrap w:val="0"/>
            <w:vAlign w:val="center"/>
          </w:tcPr>
          <w:p>
            <w:pPr>
              <w:spacing w:beforeLines="0" w:afterLines="0" w:line="58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4524" w:type="pct"/>
            <w:noWrap w:val="0"/>
            <w:vAlign w:val="center"/>
          </w:tcPr>
          <w:p>
            <w:pPr>
              <w:spacing w:beforeLines="0" w:afterLines="0" w:line="58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与其他投标供应商的法定代表人、主要经营负责人、投标授权代表人、项目负责人、主要技术人员为</w:t>
            </w:r>
            <w:r>
              <w:rPr>
                <w:rFonts w:hint="eastAsia" w:ascii="仿宋_GB2312" w:hAnsi="仿宋_GB2312" w:eastAsia="仿宋_GB2312" w:cs="仿宋_GB2312"/>
                <w:b/>
                <w:bCs/>
                <w:kern w:val="0"/>
                <w:sz w:val="28"/>
                <w:szCs w:val="28"/>
              </w:rPr>
              <w:t>同一人、属同一单位或者在同一单位缴纳社会保险</w:t>
            </w:r>
            <w:r>
              <w:rPr>
                <w:rFonts w:hint="eastAsia" w:ascii="仿宋_GB2312" w:hAnsi="仿宋_GB2312" w:eastAsia="仿宋_GB2312" w:cs="仿宋_GB2312"/>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6" w:type="pct"/>
            <w:noWrap w:val="0"/>
            <w:vAlign w:val="center"/>
          </w:tcPr>
          <w:p>
            <w:pPr>
              <w:spacing w:beforeLines="0" w:afterLines="0" w:line="58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4524" w:type="pct"/>
            <w:noWrap w:val="0"/>
            <w:vAlign w:val="center"/>
          </w:tcPr>
          <w:p>
            <w:pPr>
              <w:spacing w:beforeLines="0" w:afterLines="0" w:line="58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参与本项目政府采购活动时，与其他投标供应商存在单位负责人为</w:t>
            </w:r>
            <w:r>
              <w:rPr>
                <w:rFonts w:hint="eastAsia" w:ascii="仿宋_GB2312" w:hAnsi="仿宋_GB2312" w:eastAsia="仿宋_GB2312" w:cs="仿宋_GB2312"/>
                <w:b/>
                <w:bCs/>
                <w:kern w:val="0"/>
                <w:sz w:val="28"/>
                <w:szCs w:val="28"/>
              </w:rPr>
              <w:t>同一人或直接控股、管理关系</w:t>
            </w:r>
            <w:r>
              <w:rPr>
                <w:rFonts w:hint="eastAsia" w:ascii="仿宋_GB2312" w:hAnsi="仿宋_GB2312" w:eastAsia="仿宋_GB2312" w:cs="仿宋_GB2312"/>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6" w:type="pct"/>
            <w:noWrap w:val="0"/>
            <w:vAlign w:val="center"/>
          </w:tcPr>
          <w:p>
            <w:pPr>
              <w:spacing w:beforeLines="0" w:afterLines="0" w:line="58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p>
        </w:tc>
        <w:tc>
          <w:tcPr>
            <w:tcW w:w="4524" w:type="pct"/>
            <w:noWrap w:val="0"/>
            <w:vAlign w:val="center"/>
          </w:tcPr>
          <w:p>
            <w:pPr>
              <w:spacing w:beforeLines="0" w:afterLines="0" w:line="58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与其他投标供应商的投标文件或部分投标文件</w:t>
            </w:r>
            <w:r>
              <w:rPr>
                <w:rFonts w:hint="eastAsia" w:ascii="仿宋_GB2312" w:hAnsi="仿宋_GB2312" w:eastAsia="仿宋_GB2312" w:cs="仿宋_GB2312"/>
                <w:b/>
                <w:bCs/>
                <w:kern w:val="0"/>
                <w:sz w:val="28"/>
                <w:szCs w:val="28"/>
              </w:rPr>
              <w:t>相互混装或存在非正常一致</w:t>
            </w:r>
            <w:r>
              <w:rPr>
                <w:rFonts w:hint="eastAsia" w:ascii="仿宋_GB2312" w:hAnsi="仿宋_GB2312" w:eastAsia="仿宋_GB2312" w:cs="仿宋_GB2312"/>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476" w:type="pct"/>
            <w:noWrap w:val="0"/>
            <w:vAlign w:val="center"/>
          </w:tcPr>
          <w:p>
            <w:pPr>
              <w:spacing w:beforeLines="0" w:afterLines="0" w:line="58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w:t>
            </w:r>
          </w:p>
        </w:tc>
        <w:tc>
          <w:tcPr>
            <w:tcW w:w="4524" w:type="pct"/>
            <w:noWrap w:val="0"/>
            <w:vAlign w:val="center"/>
          </w:tcPr>
          <w:p>
            <w:pPr>
              <w:spacing w:beforeLines="0" w:afterLines="0" w:line="58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与其他投标供应商的投标文件由</w:t>
            </w:r>
            <w:r>
              <w:rPr>
                <w:rFonts w:hint="eastAsia" w:ascii="仿宋_GB2312" w:hAnsi="仿宋_GB2312" w:eastAsia="仿宋_GB2312" w:cs="仿宋_GB2312"/>
                <w:b/>
                <w:bCs/>
                <w:kern w:val="0"/>
                <w:sz w:val="28"/>
                <w:szCs w:val="28"/>
              </w:rPr>
              <w:t>同一单位或者同一人编制</w:t>
            </w:r>
            <w:r>
              <w:rPr>
                <w:rFonts w:hint="eastAsia" w:ascii="仿宋_GB2312" w:hAnsi="仿宋_GB2312" w:eastAsia="仿宋_GB2312" w:cs="仿宋_GB2312"/>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476" w:type="pct"/>
            <w:noWrap w:val="0"/>
            <w:vAlign w:val="center"/>
          </w:tcPr>
          <w:p>
            <w:pPr>
              <w:spacing w:beforeLines="0" w:afterLines="0" w:line="58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4524" w:type="pct"/>
            <w:noWrap w:val="0"/>
            <w:vAlign w:val="center"/>
          </w:tcPr>
          <w:p>
            <w:pPr>
              <w:spacing w:beforeLines="0" w:afterLines="0" w:line="58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提供</w:t>
            </w:r>
            <w:r>
              <w:rPr>
                <w:rFonts w:hint="eastAsia" w:ascii="仿宋_GB2312" w:hAnsi="仿宋_GB2312" w:eastAsia="仿宋_GB2312" w:cs="仿宋_GB2312"/>
                <w:b/>
                <w:bCs/>
                <w:kern w:val="0"/>
                <w:sz w:val="28"/>
                <w:szCs w:val="28"/>
              </w:rPr>
              <w:t>未经出具机构核实</w:t>
            </w:r>
            <w:r>
              <w:rPr>
                <w:rFonts w:hint="eastAsia" w:ascii="仿宋_GB2312" w:hAnsi="仿宋_GB2312" w:eastAsia="仿宋_GB2312" w:cs="仿宋_GB2312"/>
                <w:kern w:val="0"/>
                <w:sz w:val="28"/>
                <w:szCs w:val="28"/>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76" w:type="pct"/>
            <w:noWrap w:val="0"/>
            <w:vAlign w:val="center"/>
          </w:tcPr>
          <w:p>
            <w:pPr>
              <w:spacing w:beforeLines="0" w:afterLines="0" w:line="58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w:t>
            </w:r>
          </w:p>
        </w:tc>
        <w:tc>
          <w:tcPr>
            <w:tcW w:w="4524" w:type="pct"/>
            <w:noWrap w:val="0"/>
            <w:vAlign w:val="center"/>
          </w:tcPr>
          <w:p>
            <w:pPr>
              <w:spacing w:beforeLines="0" w:afterLines="0" w:line="58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擅自将投标密钥或电子营业执照出借他人使用或未妥善保管。</w:t>
            </w:r>
          </w:p>
        </w:tc>
      </w:tr>
    </w:tbl>
    <w:p>
      <w:pPr>
        <w:tabs>
          <w:tab w:val="right" w:leader="dot" w:pos="8364"/>
        </w:tabs>
        <w:spacing w:beforeLines="0" w:afterLines="0" w:line="580" w:lineRule="exact"/>
        <w:jc w:val="center"/>
        <w:rPr>
          <w:rFonts w:ascii="宋体" w:hAnsi="宋体"/>
          <w:szCs w:val="21"/>
        </w:rPr>
      </w:pPr>
    </w:p>
    <w:p>
      <w:pPr>
        <w:widowControl/>
        <w:spacing w:beforeLines="0" w:afterLines="0" w:line="540" w:lineRule="exact"/>
        <w:jc w:val="center"/>
        <w:rPr>
          <w:rFonts w:ascii="黑体" w:hAnsi="黑体" w:eastAsia="黑体"/>
          <w:b/>
          <w:bCs/>
          <w:kern w:val="0"/>
          <w:sz w:val="44"/>
          <w:szCs w:val="44"/>
        </w:rPr>
      </w:pPr>
      <w:r>
        <w:rPr>
          <w:rFonts w:ascii="宋体" w:hAnsi="宋体"/>
          <w:b/>
          <w:bCs/>
          <w:kern w:val="0"/>
          <w:sz w:val="44"/>
          <w:szCs w:val="44"/>
        </w:rPr>
        <w:br w:type="page"/>
      </w:r>
      <w:bookmarkStart w:id="0" w:name="_Toc213099988"/>
      <w:r>
        <w:rPr>
          <w:rFonts w:hint="eastAsia" w:ascii="方正小标宋简体" w:hAnsi="方正小标宋简体" w:eastAsia="方正小标宋简体" w:cs="方正小标宋简体"/>
          <w:b/>
          <w:bCs/>
          <w:kern w:val="0"/>
          <w:sz w:val="44"/>
          <w:szCs w:val="44"/>
        </w:rPr>
        <w:t>警示条款</w:t>
      </w:r>
      <w:bookmarkEnd w:id="0"/>
    </w:p>
    <w:p>
      <w:pPr>
        <w:widowControl/>
        <w:spacing w:beforeLines="0" w:afterLines="0" w:line="540" w:lineRule="exact"/>
        <w:jc w:val="left"/>
        <w:rPr>
          <w:kern w:val="0"/>
          <w:sz w:val="24"/>
        </w:rPr>
      </w:pPr>
    </w:p>
    <w:p>
      <w:pPr>
        <w:spacing w:beforeLines="0" w:after="0" w:afterLines="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pacing w:beforeLines="0" w:after="0" w:afterLines="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（一）在采购活动中应当回避而未回避的；</w:t>
      </w:r>
    </w:p>
    <w:p>
      <w:pPr>
        <w:spacing w:beforeLines="0" w:after="0" w:afterLines="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（二）未按本条例规定签订、履行采购合同，造成严重后果的；</w:t>
      </w:r>
    </w:p>
    <w:p>
      <w:pPr>
        <w:spacing w:beforeLines="0" w:after="0" w:afterLines="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（三）隐瞒真实情况，提供虚假资料的；</w:t>
      </w:r>
    </w:p>
    <w:p>
      <w:pPr>
        <w:spacing w:beforeLines="0" w:after="0" w:afterLines="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（四）以非法手段排斥其他供应商参与竞争的；</w:t>
      </w:r>
    </w:p>
    <w:p>
      <w:pPr>
        <w:spacing w:beforeLines="0" w:after="0" w:afterLines="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（五）与其他采购参加人串通投标的；</w:t>
      </w:r>
    </w:p>
    <w:p>
      <w:pPr>
        <w:spacing w:beforeLines="0" w:after="0" w:afterLines="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（六）恶意投诉的；</w:t>
      </w:r>
    </w:p>
    <w:p>
      <w:pPr>
        <w:spacing w:beforeLines="0" w:after="0" w:afterLines="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（七）向采购项目相关人行贿或者提供其他不当利益的；</w:t>
      </w:r>
    </w:p>
    <w:p>
      <w:pPr>
        <w:spacing w:beforeLines="0" w:after="0" w:afterLines="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（八）阻碍、抗拒主管部门监督检查的；</w:t>
      </w:r>
    </w:p>
    <w:p>
      <w:pPr>
        <w:spacing w:beforeLines="0" w:after="0" w:afterLines="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（九）其他违反本条例规定的行为。</w:t>
      </w:r>
    </w:p>
    <w:p>
      <w:pPr>
        <w:spacing w:beforeLines="0" w:after="0" w:afterLines="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二、《深圳经济特区政府采购条例实施细则》第七十五条 供应商有下列情形的，属于采购条例所称的串通投标行为，按照采购条例第五十七条有关规定处理：</w:t>
      </w:r>
    </w:p>
    <w:p>
      <w:pPr>
        <w:spacing w:beforeLines="0" w:after="0" w:afterLines="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（一）投标供应商之间相互约定给予未中标的供应商利益补偿；</w:t>
      </w:r>
    </w:p>
    <w:p>
      <w:pPr>
        <w:spacing w:beforeLines="0" w:after="0" w:afterLines="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（二）不同投标供应商的法定代表人、主要经营负责人、项目投标授权代表人、项目负责人、主要技术人员为同一人、属同一单位或者在同一单位缴纳社会保险；</w:t>
      </w:r>
    </w:p>
    <w:p>
      <w:pPr>
        <w:spacing w:beforeLines="0" w:after="0" w:afterLines="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（三）不同投标供应商的投标文件由同一单位或者同一人编制，或者由同一人分阶段参与编制的；</w:t>
      </w:r>
    </w:p>
    <w:p>
      <w:pPr>
        <w:spacing w:beforeLines="0" w:after="0" w:afterLines="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（四）不同投标供应商的投标文件或部分投标文件相互混装；</w:t>
      </w:r>
    </w:p>
    <w:p>
      <w:pPr>
        <w:spacing w:beforeLines="0" w:after="0" w:afterLines="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（五）不同投标供应商的投标文件内容存在非正常一致；</w:t>
      </w:r>
    </w:p>
    <w:p>
      <w:pPr>
        <w:spacing w:beforeLines="0" w:after="0" w:afterLines="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（六）由同一单位工作人员为两家以上（含两家）供应商进行同一项投标活动的；</w:t>
      </w:r>
    </w:p>
    <w:p>
      <w:pPr>
        <w:spacing w:beforeLines="0" w:after="0" w:afterLines="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（七）主管部门依照法律、法规认定的其他情形。</w:t>
      </w:r>
    </w:p>
    <w:p>
      <w:pPr>
        <w:spacing w:beforeLines="0" w:after="0" w:afterLines="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三、《深圳经济特区政府采购条例实施细则》第七十七条 供应商有下列情形之一的，属于隐瞒真实情况，提供虚假资料，按照采购条例第五十七的有关规定处理：</w:t>
      </w:r>
    </w:p>
    <w:p>
      <w:pPr>
        <w:spacing w:beforeLines="0" w:after="0" w:afterLines="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（一）通过转让或者租借等方式从其他单位获取资格或者资质证书投标的；</w:t>
      </w:r>
    </w:p>
    <w:p>
      <w:pPr>
        <w:spacing w:beforeLines="0" w:after="0" w:afterLines="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（二）由其他单位或者其他单位负责人在投标供应商编制的投标文件上加盖印章或者签字的；</w:t>
      </w:r>
    </w:p>
    <w:p>
      <w:pPr>
        <w:spacing w:beforeLines="0" w:after="0" w:afterLines="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（三）项目负责人或者主要技术人员不是本单位人员的；</w:t>
      </w:r>
    </w:p>
    <w:p>
      <w:pPr>
        <w:spacing w:beforeLines="0" w:after="0" w:afterLines="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（四）投标保证金不是从投标供应商基本账户转出的；</w:t>
      </w:r>
    </w:p>
    <w:p>
      <w:pPr>
        <w:spacing w:beforeLines="0" w:after="0" w:afterLines="0" w:line="540" w:lineRule="exact"/>
        <w:ind w:firstLine="640" w:firstLineChars="200"/>
      </w:pPr>
      <w:r>
        <w:rPr>
          <w:rFonts w:hint="eastAsia" w:ascii="仿宋_GB2312" w:hAnsi="仿宋_GB2312" w:eastAsia="仿宋_GB2312" w:cs="仿宋_GB2312"/>
          <w:sz w:val="32"/>
          <w:szCs w:val="32"/>
        </w:rPr>
        <w:t>（五）其他隐瞒真实情况、提供虚假资料的行为。</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A3F9900"/>
    <w:rsid w:val="77D5EEBA"/>
    <w:rsid w:val="BA3F9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2026-04-22T17:37:00Z</dcterms:created>
  <dc:creator>崔卉琳</dc:creator>
  <cp:lastModifiedBy>崔卉琳</cp:lastModifiedBy>
  <dcterms:modified xsi:type="dcterms:W3CDTF">2026-04-22T17:38:32Z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