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beforeLines="0" w:afterLines="0" w:line="580" w:lineRule="exact"/>
        <w:textAlignment w:val="auto"/>
        <w:rPr>
          <w:rFonts w:hint="eastAsia" w:ascii="方正黑体_GBK" w:hAnsi="方正黑体_GBK" w:eastAsia="方正黑体_GBK" w:cs="方正黑体_GBK"/>
          <w:i w:val="0"/>
          <w:iCs w:val="0"/>
          <w:sz w:val="32"/>
          <w:szCs w:val="32"/>
          <w:lang w:val="en-US" w:eastAsia="zh-CN"/>
        </w:rPr>
      </w:pPr>
      <w:r>
        <w:rPr>
          <w:rFonts w:hint="eastAsia" w:ascii="黑体" w:hAnsi="黑体" w:eastAsia="黑体" w:cs="黑体"/>
          <w:i w:val="0"/>
          <w:iCs w:val="0"/>
          <w:sz w:val="32"/>
          <w:szCs w:val="32"/>
          <w:lang w:val="en-US" w:eastAsia="zh-CN"/>
        </w:rPr>
        <w:t>附件2</w:t>
      </w:r>
    </w:p>
    <w:p>
      <w:pPr>
        <w:autoSpaceDE/>
        <w:autoSpaceDN/>
        <w:adjustRightInd w:val="0"/>
        <w:spacing w:beforeLines="0" w:afterLines="0" w:line="580" w:lineRule="exact"/>
        <w:jc w:val="center"/>
        <w:outlineLvl w:val="0"/>
        <w:rPr>
          <w:rFonts w:hint="eastAsia" w:ascii="方正小标宋_GBK" w:hAnsi="方正小标宋_GBK" w:eastAsia="方正小标宋_GBK" w:cs="方正小标宋_GBK"/>
          <w:b w:val="0"/>
          <w:bCs w:val="0"/>
          <w:i w:val="0"/>
          <w:iCs w:val="0"/>
          <w:kern w:val="0"/>
          <w:sz w:val="44"/>
          <w:szCs w:val="44"/>
          <w:lang w:eastAsia="zh-CN"/>
        </w:rPr>
      </w:pPr>
    </w:p>
    <w:p>
      <w:pPr>
        <w:autoSpaceDE/>
        <w:autoSpaceDN/>
        <w:adjustRightInd w:val="0"/>
        <w:spacing w:beforeLines="0" w:afterLines="0" w:line="580" w:lineRule="exact"/>
        <w:jc w:val="center"/>
        <w:outlineLvl w:val="0"/>
        <w:rPr>
          <w:rFonts w:hint="eastAsia" w:ascii="方正小标宋简体" w:hAnsi="方正小标宋简体" w:eastAsia="方正小标宋简体" w:cs="方正小标宋简体"/>
          <w:b w:val="0"/>
          <w:bCs w:val="0"/>
          <w:i w:val="0"/>
          <w:iCs w:val="0"/>
          <w:kern w:val="0"/>
          <w:sz w:val="44"/>
          <w:szCs w:val="44"/>
          <w:lang w:eastAsia="zh-CN"/>
        </w:rPr>
      </w:pPr>
      <w:r>
        <w:rPr>
          <w:rFonts w:hint="eastAsia" w:ascii="方正小标宋简体" w:hAnsi="方正小标宋简体" w:eastAsia="方正小标宋简体" w:cs="方正小标宋简体"/>
          <w:b w:val="0"/>
          <w:bCs w:val="0"/>
          <w:i w:val="0"/>
          <w:iCs w:val="0"/>
          <w:kern w:val="0"/>
          <w:sz w:val="44"/>
          <w:szCs w:val="44"/>
          <w:lang w:eastAsia="zh-CN"/>
        </w:rPr>
        <w:t>政府采购违法行为风险知悉确认书</w:t>
      </w:r>
    </w:p>
    <w:p>
      <w:pPr>
        <w:numPr>
          <w:ilvl w:val="0"/>
          <w:numId w:val="0"/>
        </w:numPr>
        <w:spacing w:beforeLines="0" w:afterLines="0" w:line="580" w:lineRule="exact"/>
        <w:ind w:firstLine="640" w:firstLineChars="200"/>
        <w:rPr>
          <w:rFonts w:hint="eastAsia" w:ascii="仿宋_GB2312" w:hAnsi="仿宋_GB2312" w:eastAsia="仿宋_GB2312" w:cs="仿宋_GB2312"/>
          <w:i w:val="0"/>
          <w:iCs w:val="0"/>
          <w:sz w:val="32"/>
          <w:szCs w:val="32"/>
          <w:lang w:val="en-US" w:eastAsia="zh-CN"/>
        </w:rPr>
      </w:pPr>
    </w:p>
    <w:p>
      <w:pPr>
        <w:numPr>
          <w:ilvl w:val="0"/>
          <w:numId w:val="0"/>
        </w:numPr>
        <w:spacing w:beforeLines="0" w:afterLines="0" w:line="580" w:lineRule="exact"/>
        <w:ind w:firstLine="640" w:firstLineChars="200"/>
        <w:rPr>
          <w:rFonts w:hint="eastAsia" w:ascii="仿宋_GB2312" w:hAnsi="仿宋_GB2312" w:eastAsia="仿宋_GB2312" w:cs="仿宋_GB2312"/>
          <w:b w:val="0"/>
          <w:bCs w:val="0"/>
          <w:i w:val="0"/>
          <w:iCs w:val="0"/>
          <w:kern w:val="0"/>
          <w:sz w:val="32"/>
          <w:szCs w:val="32"/>
          <w:lang w:eastAsia="zh-CN"/>
        </w:rPr>
      </w:pPr>
      <w:r>
        <w:rPr>
          <w:rFonts w:hint="eastAsia" w:ascii="仿宋_GB2312" w:hAnsi="仿宋_GB2312" w:eastAsia="仿宋_GB2312" w:cs="仿宋_GB2312"/>
          <w:b w:val="0"/>
          <w:bCs w:val="0"/>
          <w:i w:val="0"/>
          <w:i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pPr>
        <w:numPr>
          <w:ilvl w:val="0"/>
          <w:numId w:val="0"/>
        </w:numPr>
        <w:spacing w:beforeLines="0" w:afterLines="0" w:line="580" w:lineRule="exact"/>
        <w:ind w:firstLine="642"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一、本公司已充分知悉“隐瞒真实情况，提供虚假</w:t>
      </w:r>
      <w:r>
        <w:rPr>
          <w:rFonts w:hint="eastAsia" w:ascii="仿宋_GB2312" w:hAnsi="仿宋_GB2312" w:eastAsia="仿宋_GB2312" w:cs="仿宋_GB2312"/>
          <w:b/>
          <w:bCs/>
          <w:i w:val="0"/>
          <w:iCs w:val="0"/>
          <w:sz w:val="32"/>
          <w:szCs w:val="32"/>
          <w:highlight w:val="none"/>
          <w:lang w:val="en-US" w:eastAsia="zh-CN"/>
        </w:rPr>
        <w:t>资料</w:t>
      </w:r>
      <w:r>
        <w:rPr>
          <w:rFonts w:hint="eastAsia" w:ascii="仿宋_GB2312" w:hAnsi="仿宋_GB2312" w:eastAsia="仿宋_GB2312" w:cs="仿宋_GB2312"/>
          <w:b/>
          <w:bCs/>
          <w:i w:val="0"/>
          <w:iCs w:val="0"/>
          <w:sz w:val="32"/>
          <w:szCs w:val="32"/>
          <w:lang w:val="en-US" w:eastAsia="zh-CN"/>
        </w:rPr>
        <w:t>”的法定情形，相关情形包括但不限于</w:t>
      </w:r>
      <w:r>
        <w:rPr>
          <w:rFonts w:hint="eastAsia" w:ascii="仿宋_GB2312" w:hAnsi="仿宋_GB2312" w:eastAsia="仿宋_GB2312" w:cs="仿宋_GB2312"/>
          <w:i w:val="0"/>
          <w:iCs w:val="0"/>
          <w:sz w:val="32"/>
          <w:szCs w:val="32"/>
          <w:lang w:val="en-US" w:eastAsia="zh-CN"/>
        </w:rPr>
        <w:t>：</w:t>
      </w:r>
    </w:p>
    <w:p>
      <w:pPr>
        <w:numPr>
          <w:ilvl w:val="0"/>
          <w:numId w:val="0"/>
        </w:numPr>
        <w:spacing w:beforeLines="0" w:afterLines="0"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（一）通过转让或者租借等方式从其他单位获取资格或者资质证书投标的。</w:t>
      </w:r>
    </w:p>
    <w:p>
      <w:pPr>
        <w:numPr>
          <w:ilvl w:val="0"/>
          <w:numId w:val="0"/>
        </w:numPr>
        <w:spacing w:beforeLines="0" w:afterLines="0"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（二）由其他单位或者其他单位负责人在投标供应商编制的投标文件上加盖印章或者签字的。</w:t>
      </w:r>
    </w:p>
    <w:p>
      <w:pPr>
        <w:numPr>
          <w:ilvl w:val="0"/>
          <w:numId w:val="0"/>
        </w:numPr>
        <w:spacing w:beforeLines="0" w:afterLines="0"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（三）项目负责人或者主要技术人员不是本单位人员的。</w:t>
      </w:r>
    </w:p>
    <w:p>
      <w:pPr>
        <w:numPr>
          <w:ilvl w:val="0"/>
          <w:numId w:val="0"/>
        </w:numPr>
        <w:spacing w:beforeLines="0" w:afterLines="0"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（四）投标保证金不是从投标供应商基本账户转出的。</w:t>
      </w:r>
    </w:p>
    <w:p>
      <w:pPr>
        <w:numPr>
          <w:ilvl w:val="0"/>
          <w:numId w:val="0"/>
        </w:numPr>
        <w:spacing w:beforeLines="0" w:afterLines="0"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（五）其他隐瞒真实情况、提供虚假资料的行为。</w:t>
      </w:r>
    </w:p>
    <w:p>
      <w:pPr>
        <w:numPr>
          <w:ilvl w:val="0"/>
          <w:numId w:val="0"/>
        </w:numPr>
        <w:spacing w:beforeLines="0" w:afterLines="0" w:line="580" w:lineRule="exact"/>
        <w:ind w:firstLine="642"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二、本公司已充分知悉“与其他采购参加人串通投标”的法定情形，相关情形包括但不限于：</w:t>
      </w:r>
    </w:p>
    <w:p>
      <w:pPr>
        <w:numPr>
          <w:ilvl w:val="0"/>
          <w:numId w:val="0"/>
        </w:numPr>
        <w:spacing w:beforeLines="0" w:afterLines="0" w:line="580" w:lineRule="exact"/>
        <w:ind w:firstLine="640" w:firstLineChars="200"/>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 xml:space="preserve">（一）投标供应商之间相互约定给予未中标的供应商利益补偿。 </w:t>
      </w:r>
    </w:p>
    <w:p>
      <w:pPr>
        <w:numPr>
          <w:ilvl w:val="0"/>
          <w:numId w:val="0"/>
        </w:numPr>
        <w:spacing w:beforeLines="0" w:afterLines="0"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beforeLines="0" w:afterLines="0"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（三）不同投标供应商的投标文件由同一单位或者同一人编制，或者由同一人分阶段参与编制的。</w:t>
      </w:r>
    </w:p>
    <w:p>
      <w:pPr>
        <w:numPr>
          <w:ilvl w:val="0"/>
          <w:numId w:val="0"/>
        </w:numPr>
        <w:spacing w:beforeLines="0" w:afterLines="0"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（四）不同投标供应商的投标文件或部分投标文件相互混装。</w:t>
      </w:r>
    </w:p>
    <w:p>
      <w:pPr>
        <w:numPr>
          <w:ilvl w:val="0"/>
          <w:numId w:val="0"/>
        </w:numPr>
        <w:spacing w:beforeLines="0" w:afterLines="0"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（五）不同投标供应商的投标文件内容存在非正常一致。</w:t>
      </w:r>
    </w:p>
    <w:p>
      <w:pPr>
        <w:numPr>
          <w:ilvl w:val="0"/>
          <w:numId w:val="0"/>
        </w:numPr>
        <w:spacing w:beforeLines="0" w:afterLines="0"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（六）由同一单位工作人员为两家以上（含两家）供应商进行同一项投标活动的。</w:t>
      </w:r>
    </w:p>
    <w:p>
      <w:pPr>
        <w:numPr>
          <w:ilvl w:val="0"/>
          <w:numId w:val="0"/>
        </w:numPr>
        <w:spacing w:beforeLines="0" w:afterLines="0"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（七）</w:t>
      </w:r>
      <w:r>
        <w:rPr>
          <w:rFonts w:hint="eastAsia" w:ascii="仿宋_GB2312" w:hAnsi="仿宋_GB2312" w:eastAsia="仿宋_GB2312" w:cs="仿宋_GB2312"/>
          <w:b w:val="0"/>
          <w:bCs w:val="0"/>
          <w:i w:val="0"/>
          <w:iCs w:val="0"/>
          <w:sz w:val="32"/>
          <w:szCs w:val="32"/>
          <w:u w:val="none"/>
          <w:lang w:val="en-US" w:eastAsia="zh-CN"/>
        </w:rPr>
        <w:t>不同投标人的投标报价呈规律性差异。</w:t>
      </w:r>
    </w:p>
    <w:p>
      <w:pPr>
        <w:numPr>
          <w:ilvl w:val="0"/>
          <w:numId w:val="0"/>
        </w:numPr>
        <w:spacing w:beforeLines="0" w:afterLines="0" w:line="580" w:lineRule="exact"/>
        <w:ind w:firstLine="640" w:firstLineChars="200"/>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（八）</w:t>
      </w:r>
      <w:r>
        <w:rPr>
          <w:rFonts w:hint="eastAsia" w:ascii="仿宋_GB2312" w:hAnsi="仿宋_GB2312" w:eastAsia="仿宋_GB2312" w:cs="仿宋_GB2312"/>
          <w:b w:val="0"/>
          <w:bCs w:val="0"/>
          <w:i w:val="0"/>
          <w:iCs w:val="0"/>
          <w:sz w:val="32"/>
          <w:szCs w:val="32"/>
          <w:u w:val="none"/>
          <w:lang w:val="en-US" w:eastAsia="zh-CN"/>
        </w:rPr>
        <w:t>不同投标人的投标保证金从同一单位或者个人的账户转出。</w:t>
      </w:r>
    </w:p>
    <w:p>
      <w:pPr>
        <w:numPr>
          <w:ilvl w:val="0"/>
          <w:numId w:val="0"/>
        </w:numPr>
        <w:spacing w:beforeLines="0" w:afterLines="0"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（九）主管部门依照法律、法规认定的其他情形。</w:t>
      </w:r>
    </w:p>
    <w:p>
      <w:pPr>
        <w:numPr>
          <w:ilvl w:val="0"/>
          <w:numId w:val="0"/>
        </w:numPr>
        <w:spacing w:beforeLines="0" w:afterLines="0" w:line="580" w:lineRule="exact"/>
        <w:ind w:firstLine="642" w:firstLineChars="200"/>
        <w:rPr>
          <w:rFonts w:hint="eastAsia" w:ascii="仿宋_GB2312" w:hAnsi="仿宋_GB2312" w:eastAsia="仿宋_GB2312" w:cs="仿宋_GB2312"/>
          <w:b/>
          <w:bCs/>
          <w:i w:val="0"/>
          <w:iCs w:val="0"/>
          <w:sz w:val="32"/>
          <w:szCs w:val="32"/>
          <w:highlight w:val="none"/>
          <w:lang w:val="en-US" w:eastAsia="zh-CN"/>
        </w:rPr>
      </w:pPr>
      <w:r>
        <w:rPr>
          <w:rFonts w:hint="eastAsia" w:ascii="仿宋_GB2312" w:hAnsi="仿宋_GB2312" w:eastAsia="仿宋_GB2312" w:cs="仿宋_GB2312"/>
          <w:b/>
          <w:bCs/>
          <w:i w:val="0"/>
          <w:iCs w:val="0"/>
          <w:sz w:val="32"/>
          <w:szCs w:val="32"/>
          <w:highlight w:val="none"/>
          <w:lang w:val="en-US" w:eastAsia="zh-CN"/>
        </w:rPr>
        <w:t>三、本公司已充分知悉下列情形所对应的法律风险，并在投标前已对相关风险事项进行排查。</w:t>
      </w:r>
    </w:p>
    <w:p>
      <w:pPr>
        <w:numPr>
          <w:ilvl w:val="0"/>
          <w:numId w:val="0"/>
        </w:numPr>
        <w:spacing w:beforeLines="0" w:afterLines="0" w:line="580" w:lineRule="exact"/>
        <w:ind w:firstLine="640" w:firstLineChars="200"/>
        <w:rPr>
          <w:rFonts w:hint="eastAsia" w:ascii="仿宋_GB2312" w:hAnsi="仿宋_GB2312" w:eastAsia="仿宋_GB2312" w:cs="仿宋_GB2312"/>
          <w:b/>
          <w:bCs/>
          <w:i w:val="0"/>
          <w:iCs w:val="0"/>
          <w:sz w:val="32"/>
          <w:szCs w:val="32"/>
          <w:lang w:val="en-US" w:eastAsia="zh-CN"/>
        </w:rPr>
      </w:pPr>
      <w:r>
        <w:rPr>
          <w:rFonts w:hint="eastAsia" w:ascii="仿宋_GB2312" w:hAnsi="仿宋_GB2312" w:eastAsia="仿宋_GB2312" w:cs="仿宋_GB2312"/>
          <w:i w:val="0"/>
          <w:iCs w:val="0"/>
          <w:sz w:val="32"/>
          <w:szCs w:val="32"/>
          <w:lang w:val="en-US" w:eastAsia="zh-CN"/>
        </w:rPr>
        <w:t>（一）对于</w:t>
      </w:r>
      <w:r>
        <w:rPr>
          <w:rFonts w:hint="eastAsia" w:ascii="仿宋_GB2312" w:eastAsia="仿宋_GB2312"/>
          <w:i w:val="0"/>
          <w:iCs w:val="0"/>
          <w:sz w:val="32"/>
          <w:szCs w:val="32"/>
          <w:lang w:eastAsia="zh-CN"/>
        </w:rPr>
        <w:t>从</w:t>
      </w:r>
      <w:r>
        <w:rPr>
          <w:rFonts w:hint="eastAsia" w:ascii="仿宋_GB2312" w:hAnsi="仿宋_GB2312" w:eastAsia="仿宋_GB2312" w:cs="仿宋_GB2312"/>
          <w:i w:val="0"/>
          <w:iCs w:val="0"/>
          <w:sz w:val="32"/>
          <w:szCs w:val="32"/>
          <w:lang w:val="en-US" w:eastAsia="zh-CN"/>
        </w:rPr>
        <w:t>其他主体</w:t>
      </w:r>
      <w:r>
        <w:rPr>
          <w:rFonts w:hint="eastAsia" w:ascii="仿宋_GB2312" w:eastAsia="仿宋_GB2312"/>
          <w:i w:val="0"/>
          <w:iCs w:val="0"/>
          <w:sz w:val="32"/>
          <w:szCs w:val="32"/>
          <w:lang w:eastAsia="zh-CN"/>
        </w:rPr>
        <w:t>获取</w:t>
      </w:r>
      <w:r>
        <w:rPr>
          <w:rFonts w:hint="eastAsia" w:ascii="仿宋_GB2312" w:hAnsi="仿宋_GB2312" w:eastAsia="仿宋_GB2312" w:cs="仿宋_GB2312"/>
          <w:i w:val="0"/>
          <w:iCs w:val="0"/>
          <w:sz w:val="32"/>
          <w:szCs w:val="32"/>
          <w:lang w:val="en-US" w:eastAsia="zh-CN"/>
        </w:rPr>
        <w:t>的投标资料，供应商应审慎核查，确保投标资料的真实性。</w:t>
      </w:r>
      <w:r>
        <w:rPr>
          <w:rFonts w:hint="eastAsia" w:ascii="仿宋_GB2312" w:hAnsi="仿宋_GB2312" w:eastAsia="仿宋_GB2312" w:cs="仿宋_GB2312"/>
          <w:b/>
          <w:bCs/>
          <w:i w:val="0"/>
          <w:iCs w:val="0"/>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beforeLines="0" w:afterLines="0"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beforeLines="0" w:afterLines="0"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beforeLines="0" w:afterLines="0"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（四）供应商应严格规范项目授权代表、员工参与招标投标的行为，加强对投标文件的审核。项目授权代表、员工</w:t>
      </w:r>
      <w:r>
        <w:rPr>
          <w:rFonts w:hint="eastAsia" w:ascii="仿宋_GB2312" w:eastAsia="仿宋_GB2312"/>
          <w:i w:val="0"/>
          <w:iCs w:val="0"/>
          <w:sz w:val="32"/>
          <w:szCs w:val="32"/>
          <w:lang w:eastAsia="zh-CN"/>
        </w:rPr>
        <w:t>编制、上传</w:t>
      </w:r>
      <w:r>
        <w:rPr>
          <w:rFonts w:hint="eastAsia" w:ascii="仿宋_GB2312" w:hAnsi="仿宋_GB2312" w:eastAsia="仿宋_GB2312" w:cs="仿宋_GB2312"/>
          <w:i w:val="0"/>
          <w:iCs w:val="0"/>
          <w:sz w:val="32"/>
          <w:szCs w:val="32"/>
          <w:lang w:val="en-US" w:eastAsia="zh-CN"/>
        </w:rPr>
        <w:t>投标文件</w:t>
      </w:r>
      <w:r>
        <w:rPr>
          <w:rFonts w:hint="eastAsia" w:ascii="仿宋_GB2312" w:eastAsia="仿宋_GB2312"/>
          <w:i w:val="0"/>
          <w:iCs w:val="0"/>
          <w:sz w:val="32"/>
          <w:szCs w:val="32"/>
          <w:lang w:eastAsia="zh-CN"/>
        </w:rPr>
        <w:t>等行为</w:t>
      </w:r>
      <w:r>
        <w:rPr>
          <w:rFonts w:hint="eastAsia" w:ascii="仿宋_GB2312" w:hAnsi="仿宋_GB2312" w:eastAsia="仿宋_GB2312" w:cs="仿宋_GB2312"/>
          <w:i w:val="0"/>
          <w:iCs w:val="0"/>
          <w:sz w:val="32"/>
          <w:szCs w:val="32"/>
          <w:lang w:val="en-US" w:eastAsia="zh-CN"/>
        </w:rPr>
        <w:t>违反政府采购法律法规或招标文件要求的，投标供应商应当依法承担相应法律责任。</w:t>
      </w:r>
    </w:p>
    <w:p>
      <w:pPr>
        <w:numPr>
          <w:ilvl w:val="0"/>
          <w:numId w:val="0"/>
        </w:numPr>
        <w:spacing w:beforeLines="0" w:afterLines="0" w:line="580" w:lineRule="exact"/>
        <w:ind w:firstLine="640" w:firstLineChars="200"/>
        <w:jc w:val="left"/>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beforeLines="0" w:afterLines="0" w:line="580" w:lineRule="exact"/>
        <w:ind w:firstLine="640" w:firstLineChars="200"/>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lang w:val="en-US" w:eastAsia="zh-CN"/>
        </w:rPr>
        <w:t>（六）</w:t>
      </w:r>
      <w:r>
        <w:rPr>
          <w:rFonts w:hint="eastAsia" w:ascii="仿宋_GB2312" w:hAnsi="仿宋_GB2312" w:eastAsia="仿宋_GB2312" w:cs="仿宋_GB2312"/>
          <w:b w:val="0"/>
          <w:bCs w:val="0"/>
          <w:i w:val="0"/>
          <w:i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i w:val="0"/>
          <w:iCs w:val="0"/>
          <w:sz w:val="32"/>
          <w:szCs w:val="32"/>
          <w:lang w:eastAsia="zh-CN"/>
        </w:rPr>
        <w:t>如</w:t>
      </w:r>
      <w:r>
        <w:rPr>
          <w:rFonts w:hint="eastAsia" w:ascii="仿宋_GB2312" w:hAnsi="仿宋_GB2312" w:eastAsia="仿宋_GB2312" w:cs="仿宋_GB2312"/>
          <w:b w:val="0"/>
          <w:bCs w:val="0"/>
          <w:i w:val="0"/>
          <w:iCs w:val="0"/>
          <w:sz w:val="32"/>
          <w:szCs w:val="32"/>
          <w:highlight w:val="none"/>
          <w:lang w:val="en-US" w:eastAsia="zh-CN"/>
        </w:rPr>
        <w:t>查实，依法作投标无效处理；涉嫌串通投标等违法行为的，主管部门将依法调查处理。</w:t>
      </w:r>
    </w:p>
    <w:p>
      <w:pPr>
        <w:numPr>
          <w:ilvl w:val="0"/>
          <w:numId w:val="0"/>
        </w:numPr>
        <w:spacing w:beforeLines="0" w:afterLines="0" w:line="580" w:lineRule="exact"/>
        <w:ind w:firstLine="642" w:firstLineChars="200"/>
        <w:rPr>
          <w:rFonts w:hint="default" w:ascii="仿宋_GB2312" w:hAnsi="仿宋_GB2312" w:eastAsia="仿宋_GB2312" w:cs="仿宋_GB2312"/>
          <w:b/>
          <w:bCs/>
          <w:i w:val="0"/>
          <w:iCs w:val="0"/>
          <w:sz w:val="32"/>
          <w:szCs w:val="32"/>
          <w:lang w:val="en-US" w:eastAsia="zh-CN"/>
        </w:rPr>
      </w:pPr>
      <w:r>
        <w:rPr>
          <w:rFonts w:hint="eastAsia" w:ascii="仿宋_GB2312" w:hAnsi="仿宋_GB2312" w:eastAsia="仿宋_GB2312" w:cs="仿宋_GB2312"/>
          <w:b/>
          <w:bCs/>
          <w:i w:val="0"/>
          <w:iCs w:val="0"/>
          <w:sz w:val="32"/>
          <w:szCs w:val="32"/>
          <w:highlight w:val="none"/>
          <w:lang w:val="en-US" w:eastAsia="zh-CN"/>
        </w:rPr>
        <w:t>四、本公司已充分知悉</w:t>
      </w:r>
      <w:r>
        <w:rPr>
          <w:rFonts w:hint="eastAsia" w:ascii="仿宋_GB2312" w:hAnsi="仿宋_GB2312" w:eastAsia="仿宋_GB2312" w:cs="仿宋_GB2312"/>
          <w:b/>
          <w:bCs/>
          <w:i w:val="0"/>
          <w:iCs w:val="0"/>
          <w:sz w:val="32"/>
          <w:szCs w:val="32"/>
          <w:highlight w:val="none"/>
          <w:u w:val="none"/>
          <w:lang w:val="en-US" w:eastAsia="zh-CN"/>
        </w:rPr>
        <w:t>政府采购违法、违规行为</w:t>
      </w:r>
      <w:r>
        <w:rPr>
          <w:rFonts w:hint="eastAsia" w:ascii="仿宋_GB2312" w:hAnsi="仿宋_GB2312" w:eastAsia="仿宋_GB2312" w:cs="仿宋_GB2312"/>
          <w:b/>
          <w:bCs/>
          <w:i w:val="0"/>
          <w:iCs w:val="0"/>
          <w:sz w:val="32"/>
          <w:szCs w:val="32"/>
          <w:highlight w:val="none"/>
          <w:lang w:val="en-US" w:eastAsia="zh-CN"/>
        </w:rPr>
        <w:t>的法律后果。</w:t>
      </w:r>
      <w:r>
        <w:rPr>
          <w:rFonts w:hint="eastAsia" w:ascii="仿宋_GB2312" w:hAnsi="仿宋_GB2312" w:eastAsia="仿宋_GB2312" w:cs="仿宋_GB2312"/>
          <w:i w:val="0"/>
          <w:iCs w:val="0"/>
          <w:sz w:val="32"/>
          <w:szCs w:val="32"/>
          <w:lang w:val="en-US" w:eastAsia="zh-CN"/>
        </w:rPr>
        <w:t>经查实，若投标供应商存在</w:t>
      </w:r>
      <w:r>
        <w:rPr>
          <w:rFonts w:hint="eastAsia" w:ascii="仿宋_GB2312" w:hAnsi="仿宋_GB2312" w:eastAsia="仿宋_GB2312" w:cs="仿宋_GB2312"/>
          <w:i w:val="0"/>
          <w:iCs w:val="0"/>
          <w:sz w:val="32"/>
          <w:szCs w:val="32"/>
          <w:u w:val="none"/>
          <w:lang w:val="en-US" w:eastAsia="zh-CN"/>
        </w:rPr>
        <w:t>政府采购违法、违规行为</w:t>
      </w:r>
      <w:r>
        <w:rPr>
          <w:rFonts w:hint="eastAsia" w:ascii="仿宋_GB2312" w:hAnsi="仿宋_GB2312" w:eastAsia="仿宋_GB2312" w:cs="仿宋_GB2312"/>
          <w:i w:val="0"/>
          <w:iCs w:val="0"/>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beforeLines="0" w:afterLines="0" w:line="580" w:lineRule="exact"/>
        <w:ind w:firstLine="640" w:firstLineChars="200"/>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i w:val="0"/>
          <w:iCs w:val="0"/>
          <w:sz w:val="32"/>
          <w:szCs w:val="32"/>
          <w:lang w:val="en-US" w:eastAsia="zh-CN"/>
        </w:rPr>
        <w:t>严谨、诚信、依法依规参与政府采购活动</w:t>
      </w:r>
      <w:r>
        <w:rPr>
          <w:rFonts w:hint="eastAsia" w:ascii="仿宋_GB2312" w:hAnsi="仿宋_GB2312" w:eastAsia="仿宋_GB2312" w:cs="仿宋_GB2312"/>
          <w:i w:val="0"/>
          <w:iCs w:val="0"/>
          <w:sz w:val="32"/>
          <w:szCs w:val="32"/>
          <w:lang w:val="en-US" w:eastAsia="zh-CN"/>
        </w:rPr>
        <w:t>”</w:t>
      </w:r>
      <w:r>
        <w:rPr>
          <w:rFonts w:hint="eastAsia" w:ascii="仿宋_GB2312" w:hAnsi="仿宋_GB2312" w:eastAsia="仿宋_GB2312" w:cs="仿宋_GB2312"/>
          <w:b w:val="0"/>
          <w:bCs w:val="0"/>
          <w:i w:val="0"/>
          <w:iCs w:val="0"/>
          <w:sz w:val="32"/>
          <w:szCs w:val="32"/>
          <w:lang w:val="en-US" w:eastAsia="zh-CN"/>
        </w:rPr>
        <w:t>。</w:t>
      </w:r>
    </w:p>
    <w:p>
      <w:pPr>
        <w:numPr>
          <w:ilvl w:val="0"/>
          <w:numId w:val="0"/>
        </w:numPr>
        <w:spacing w:beforeLines="0" w:afterLines="0" w:line="580" w:lineRule="exact"/>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u w:val="single"/>
          <w:lang w:val="en-US" w:eastAsia="zh-CN"/>
        </w:rPr>
        <w:t xml:space="preserve">                                                    </w:t>
      </w:r>
    </w:p>
    <w:p>
      <w:pPr>
        <w:numPr>
          <w:ilvl w:val="0"/>
          <w:numId w:val="0"/>
        </w:numPr>
        <w:spacing w:beforeLines="0" w:afterLines="0" w:line="580" w:lineRule="exact"/>
        <w:rPr>
          <w:rFonts w:hint="eastAsia" w:ascii="仿宋_GB2312" w:hAnsi="仿宋_GB2312" w:eastAsia="仿宋_GB2312" w:cs="仿宋_GB2312"/>
          <w:i w:val="0"/>
          <w:iCs w:val="0"/>
          <w:sz w:val="32"/>
          <w:szCs w:val="32"/>
          <w:u w:val="single"/>
          <w:lang w:val="en-US" w:eastAsia="zh-CN"/>
        </w:rPr>
      </w:pPr>
      <w:r>
        <w:rPr>
          <w:rFonts w:hint="eastAsia" w:ascii="仿宋_GB2312" w:hAnsi="仿宋_GB2312" w:eastAsia="仿宋_GB2312" w:cs="仿宋_GB2312"/>
          <w:i w:val="0"/>
          <w:iCs w:val="0"/>
          <w:sz w:val="32"/>
          <w:szCs w:val="32"/>
          <w:u w:val="single"/>
          <w:lang w:val="en-US" w:eastAsia="zh-CN"/>
        </w:rPr>
        <w:t xml:space="preserve">                                                    </w:t>
      </w:r>
    </w:p>
    <w:p>
      <w:pPr>
        <w:numPr>
          <w:ilvl w:val="0"/>
          <w:numId w:val="0"/>
        </w:numPr>
        <w:spacing w:beforeLines="0" w:afterLines="0" w:line="580" w:lineRule="exact"/>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u w:val="single"/>
          <w:lang w:val="en-US" w:eastAsia="zh-CN"/>
        </w:rPr>
        <w:t xml:space="preserve">                                                    </w:t>
      </w:r>
    </w:p>
    <w:p>
      <w:pPr>
        <w:numPr>
          <w:ilvl w:val="0"/>
          <w:numId w:val="0"/>
        </w:numPr>
        <w:spacing w:beforeLines="0" w:afterLines="0" w:line="580" w:lineRule="exac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32"/>
          <w:szCs w:val="32"/>
          <w:u w:val="single"/>
          <w:lang w:val="en-US" w:eastAsia="zh-CN"/>
        </w:rPr>
        <w:t xml:space="preserve">                                                    </w:t>
      </w:r>
    </w:p>
    <w:p>
      <w:pPr>
        <w:numPr>
          <w:ilvl w:val="0"/>
          <w:numId w:val="0"/>
        </w:numPr>
        <w:spacing w:beforeLines="0" w:afterLines="0" w:line="580" w:lineRule="exact"/>
        <w:rPr>
          <w:rFonts w:hint="default" w:ascii="仿宋_GB2312" w:hAnsi="仿宋_GB2312" w:eastAsia="仿宋_GB2312" w:cs="仿宋_GB2312"/>
          <w:i w:val="0"/>
          <w:iCs w:val="0"/>
          <w:sz w:val="32"/>
          <w:szCs w:val="32"/>
          <w:highlight w:val="yellow"/>
          <w:lang w:val="en-US" w:eastAsia="zh-CN"/>
        </w:rPr>
      </w:pPr>
    </w:p>
    <w:p>
      <w:pPr>
        <w:numPr>
          <w:ilvl w:val="0"/>
          <w:numId w:val="0"/>
        </w:numPr>
        <w:spacing w:beforeLines="0" w:afterLines="0" w:line="580" w:lineRule="exact"/>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 xml:space="preserve">                    负责人/投标授权代表签名：</w:t>
      </w:r>
    </w:p>
    <w:p>
      <w:pPr>
        <w:numPr>
          <w:ilvl w:val="0"/>
          <w:numId w:val="0"/>
        </w:numPr>
        <w:spacing w:beforeLines="0" w:afterLines="0" w:line="580" w:lineRule="exact"/>
        <w:ind w:firstLine="3200" w:firstLineChars="10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知悉人（公章）：</w:t>
      </w:r>
    </w:p>
    <w:p>
      <w:pPr>
        <w:spacing w:beforeLines="0" w:afterLines="0" w:line="580" w:lineRule="exact"/>
      </w:pPr>
      <w:r>
        <w:rPr>
          <w:rFonts w:hint="eastAsia" w:ascii="仿宋_GB2312" w:hAnsi="仿宋_GB2312" w:eastAsia="仿宋_GB2312" w:cs="仿宋_GB2312"/>
          <w:i w:val="0"/>
          <w:iCs w:val="0"/>
          <w:sz w:val="32"/>
          <w:szCs w:val="32"/>
          <w:lang w:val="en-US" w:eastAsia="zh-CN"/>
        </w:rPr>
        <w:t xml:space="preserve">                    日期：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D5E60"/>
    <w:rsid w:val="3F6D5E60"/>
    <w:rsid w:val="77D5E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2026-04-22T17:38:00Z</dcterms:created>
  <dc:creator>崔卉琳</dc:creator>
  <cp:lastModifiedBy>崔卉琳</cp:lastModifiedBy>
  <dcterms:modified xsi:type="dcterms:W3CDTF">2026-04-22T17:39:13Z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