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项目综合评分表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9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评分信息</w:t>
            </w:r>
          </w:p>
        </w:tc>
        <w:tc>
          <w:tcPr>
            <w:tcW w:w="9265" w:type="dxa"/>
            <w:noWrap w:val="0"/>
            <w:vAlign w:val="center"/>
          </w:tcPr>
          <w:tbl>
            <w:tblPr>
              <w:tblStyle w:val="4"/>
              <w:tblW w:w="0" w:type="auto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45"/>
              <w:gridCol w:w="706"/>
              <w:gridCol w:w="659"/>
              <w:gridCol w:w="1080"/>
              <w:gridCol w:w="940"/>
              <w:gridCol w:w="48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评分项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行号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  <w:t>具体分值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评分准则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0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价格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20）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eastAsia="zh-CN"/>
                    </w:rPr>
                    <w:t>投标报价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评审内容及标准：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满足招标文件要求且投标价格最低的投标报价为评标基准价，得20分。其他投标人价格得分＝（投标基准价/投标报价）×20。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15" w:hRule="atLeast"/>
              </w:trPr>
              <w:tc>
                <w:tcPr>
                  <w:tcW w:w="6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综合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实力（</w:t>
                  </w:r>
                  <w:r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" w:eastAsia="zh-CN" w:bidi="ar"/>
                    </w:rPr>
                    <w:t>35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供应商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资质与合规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" w:eastAsia="zh-CN" w:bidi="ar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4"/>
                      <w:szCs w:val="24"/>
                      <w:lang w:val="en" w:eastAsia="zh-CN" w:bidi="ar"/>
                    </w:rPr>
                    <w:t>5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评审内容及标准：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营业执照、无重大违法记录、社保齐全得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分；缺一项扣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分，扣完为止。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 w:hRule="atLeast"/>
              </w:trPr>
              <w:tc>
                <w:tcPr>
                  <w:tcW w:w="64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0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同类项目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业绩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kern w:val="0"/>
                      <w:szCs w:val="21"/>
                      <w:highlight w:val="none"/>
                      <w:lang w:val="en" w:eastAsia="zh-CN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" w:eastAsia="zh-CN"/>
                    </w:rPr>
                    <w:t>30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评审内容及标准：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近5年承担过创新创业类大赛项目，每提供1项得15分，最高30分。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5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技术（40）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组织服务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保障实施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方案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(一)评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审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内容：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考察投标人提供的项目实施方案应包括但不限于以下方面：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1.项目实施计划；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2.项目管理,人员管理；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项目实施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质量控制。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（二）评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审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标准：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实施方案包含以上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项内容得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分；每包含以上任意一项内容得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分；其他情况不得分。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在此基础上，根据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征集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情况进一步评审：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1.方案内容全面、具体，可行性高，加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2.方案内容较全面，可行性较高，加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3.方案全面性，可行性基本符合规范，加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5.方案不具体，可行性低，不加分。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如评审为不加分，须出具情况说明。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5" w:hRule="atLeast"/>
              </w:trPr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诚信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情况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诚信情况</w:t>
                  </w:r>
                </w:p>
              </w:tc>
              <w:tc>
                <w:tcPr>
                  <w:tcW w:w="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center"/>
                    <w:rPr>
                      <w:rFonts w:hint="default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4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（一）评分内容：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rPr>
                      <w:rFonts w:hint="eastAsia" w:ascii="宋体" w:hAnsi="宋体" w:eastAsia="宋体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highlight w:val="none"/>
                    </w:rPr>
                    <w:t>供应商存在《深圳市财政局政府采购供应商信用信息管理办法》（深财规〔2023〕3号）列明的一般行政处罚信息、一般违法失信记录信息的，本项不得分，不存在上述情形的本项得100分。供应商无需提供任何证明材料，评标过程中由工作人员向评审委员会提供有关供应商诚信查询结果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（二）评分依据：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highlight w:val="none"/>
                    </w:rPr>
                    <w:t>查询渠道：通过“信用中国”（www.creditchina.gov.cn，下载信用信息报告）、“中国政府采购网”（www.ccgp.gov.cn）”、“深圳市政府采购监管网”（http://zfcg.sz.gov.cn）以及“深圳政府采购智慧平台信用库”为供应商信用信息的查询渠道，相关信息以开标当日的查询结果为准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yello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0A592"/>
    <w:rsid w:val="0564283E"/>
    <w:rsid w:val="7690A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2026-07-02T17:35:00Z</dcterms:created>
  <dc:creator>rsj</dc:creator>
  <cp:lastModifiedBy>Administrator</cp:lastModifiedBy>
  <dcterms:modified xsi:type="dcterms:W3CDTF">2026-07-09T07:46:58Z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2901797C79544F5F833E0F9C17DE1F35</vt:lpwstr>
  </property>
</Properties>
</file>