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方正黑体_GBK" w:hAnsi="方正黑体_GBK" w:eastAsia="方正黑体_GBK" w:cs="方正黑体_GBK"/>
          <w:i w:val="0"/>
          <w:iCs w:val="0"/>
          <w:sz w:val="32"/>
          <w:szCs w:val="32"/>
          <w:lang w:val="en-US" w:eastAsia="zh-CN"/>
        </w:rPr>
      </w:pPr>
      <w:bookmarkStart w:id="0" w:name="_Toc213099987"/>
      <w:r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  <w:t>附件1</w:t>
      </w:r>
    </w:p>
    <w:p>
      <w:pPr>
        <w:keepNext/>
        <w:keepLines/>
        <w:widowControl/>
        <w:adjustRightInd w:val="0"/>
        <w:spacing w:before="120" w:beforeLines="50" w:after="120" w:afterLines="50" w:line="360" w:lineRule="auto"/>
        <w:jc w:val="center"/>
        <w:textAlignment w:val="baseline"/>
        <w:outlineLvl w:val="1"/>
        <w:rPr>
          <w:rFonts w:ascii="宋体" w:hAnsi="宋体" w:eastAsia="黑体"/>
          <w:bCs/>
          <w:kern w:val="0"/>
          <w:sz w:val="44"/>
          <w:szCs w:val="44"/>
        </w:rPr>
      </w:pPr>
      <w:r>
        <w:rPr>
          <w:rFonts w:ascii="宋体" w:hAnsi="宋体"/>
          <w:b/>
          <w:bCs/>
          <w:kern w:val="0"/>
          <w:sz w:val="44"/>
          <w:szCs w:val="44"/>
        </w:rPr>
        <w:t>特别警示条款</w:t>
      </w:r>
      <w:bookmarkEnd w:id="0"/>
    </w:p>
    <w:p>
      <w:pPr>
        <w:widowControl/>
        <w:spacing w:after="60" w:line="360" w:lineRule="auto"/>
        <w:ind w:firstLine="562" w:firstLineChars="200"/>
        <w:jc w:val="left"/>
        <w:rPr>
          <w:rFonts w:ascii="仿宋" w:hAnsi="仿宋" w:eastAsia="仿宋"/>
          <w:b/>
          <w:kern w:val="0"/>
          <w:sz w:val="28"/>
          <w:szCs w:val="28"/>
        </w:rPr>
      </w:pPr>
      <w:r>
        <w:rPr>
          <w:rFonts w:hint="eastAsia" w:ascii="仿宋" w:hAnsi="仿宋" w:eastAsia="仿宋"/>
          <w:b/>
          <w:kern w:val="0"/>
          <w:sz w:val="28"/>
          <w:szCs w:val="28"/>
        </w:rPr>
        <w:t>参与本项目政府采购活动的供应商应认真阅读以下特别警示条款，不得存在以下所列禁止情形，一旦发现，将被处以记入供应商诚信档案罚款、取消参与政府采购资格、吊销营业执照等处罚；构成犯罪的，依法追究刑事责任。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7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7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序号</w:t>
            </w:r>
          </w:p>
        </w:tc>
        <w:tc>
          <w:tcPr>
            <w:tcW w:w="4524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供应商参与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响应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禁止情形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4524" w:type="pct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与其他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响应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供应商的法定代表人、主要经营负责人、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响应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授权代表人、项目负责人、主要技术人员为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同一人、属同一单位或者在同一单位缴纳社会保险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7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4524" w:type="pct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参与本项目政府采购活动时，与其他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响应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供应商存在单位负责人为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同一人或直接控股、管理关系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4524" w:type="pct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与其他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响应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供应商的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响应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文件或部分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响应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文件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相互混装或存在非正常一致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47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4524" w:type="pct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与其他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响应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供应商的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响应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文件由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同一单位或者同一人编制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47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4524" w:type="pct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提供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未经出具机构核实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的虚假的检验检测报告、业绩材料、社保缴纳证明、学历学位证书、职称认证证书等材料。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47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4524" w:type="pct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擅自将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政府采购电子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密钥或电子营业执照出借他人使用或未妥善保管。</w:t>
            </w:r>
          </w:p>
        </w:tc>
      </w:tr>
    </w:tbl>
    <w:p>
      <w:pPr>
        <w:tabs>
          <w:tab w:val="right" w:leader="dot" w:pos="8364"/>
        </w:tabs>
        <w:spacing w:line="360" w:lineRule="auto"/>
        <w:jc w:val="center"/>
        <w:rPr>
          <w:rFonts w:ascii="宋体" w:hAnsi="宋体"/>
          <w:szCs w:val="21"/>
        </w:rPr>
      </w:pPr>
    </w:p>
    <w:p>
      <w:pPr>
        <w:widowControl/>
        <w:jc w:val="center"/>
        <w:rPr>
          <w:rFonts w:ascii="黑体" w:hAnsi="黑体" w:eastAsia="黑体"/>
          <w:b/>
          <w:bCs/>
          <w:kern w:val="0"/>
          <w:sz w:val="44"/>
          <w:szCs w:val="44"/>
        </w:rPr>
      </w:pPr>
      <w:r>
        <w:rPr>
          <w:rFonts w:ascii="宋体" w:hAnsi="宋体"/>
          <w:b/>
          <w:bCs/>
          <w:kern w:val="0"/>
          <w:sz w:val="44"/>
          <w:szCs w:val="44"/>
        </w:rPr>
        <w:br w:type="page"/>
      </w:r>
      <w:bookmarkStart w:id="1" w:name="_Toc213099988"/>
      <w:r>
        <w:rPr>
          <w:rFonts w:hint="eastAsia" w:ascii="宋体" w:hAnsi="宋体"/>
          <w:b/>
          <w:bCs/>
          <w:kern w:val="0"/>
          <w:sz w:val="44"/>
          <w:szCs w:val="44"/>
        </w:rPr>
        <w:t>警示条款</w:t>
      </w:r>
      <w:bookmarkEnd w:id="1"/>
    </w:p>
    <w:p>
      <w:pPr>
        <w:widowControl/>
        <w:jc w:val="left"/>
        <w:rPr>
          <w:kern w:val="0"/>
          <w:sz w:val="24"/>
        </w:rPr>
      </w:pPr>
    </w:p>
    <w:p>
      <w:pPr>
        <w:spacing w:after="60" w:afterLines="25" w:line="24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一、《深圳经济特区政府采购条例》第五十七条 供应商在政府采购中，有下列行为之一的，一至三年内禁止其参与本市政府采购，并由主管部门记入供应商诚信档案，处以采购金额千分之十以上千分之二十以下的罚款；情节严重的，取消其参与本市政府采购资格，处以采购金额千分之二十以上千分之三十以下的罚款，并由市场监管部门依法吊销其营业执照；给他人造成损失的，依法承担赔偿责任；构成犯罪的，依法追究刑事责任：</w:t>
      </w:r>
    </w:p>
    <w:p>
      <w:pPr>
        <w:spacing w:after="60" w:afterLines="25" w:line="24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（一）在采购活动中应当回避而未回避的；</w:t>
      </w:r>
    </w:p>
    <w:p>
      <w:pPr>
        <w:spacing w:after="60" w:afterLines="25" w:line="24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（二）未按本条例规定签订、履行采购合同，造成严重后果的；</w:t>
      </w:r>
    </w:p>
    <w:p>
      <w:pPr>
        <w:spacing w:after="60" w:afterLines="25" w:line="24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（三）隐瞒真实情况，提供虚假资料的；</w:t>
      </w:r>
    </w:p>
    <w:p>
      <w:pPr>
        <w:spacing w:after="60" w:afterLines="25" w:line="24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（四）以非法手段排斥其他供应商参与竞争的；</w:t>
      </w:r>
    </w:p>
    <w:p>
      <w:pPr>
        <w:spacing w:after="60" w:afterLines="25" w:line="24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（五）与其他采购参加人串通</w:t>
      </w:r>
      <w:r>
        <w:rPr>
          <w:rFonts w:hint="eastAsia" w:ascii="宋体" w:hAnsi="宋体"/>
          <w:sz w:val="28"/>
          <w:szCs w:val="28"/>
          <w:lang w:val="en-US" w:eastAsia="zh-CN"/>
        </w:rPr>
        <w:t>投标</w:t>
      </w:r>
      <w:r>
        <w:rPr>
          <w:rFonts w:hint="eastAsia" w:ascii="宋体" w:hAnsi="宋体"/>
          <w:sz w:val="28"/>
          <w:szCs w:val="28"/>
        </w:rPr>
        <w:t>的；</w:t>
      </w:r>
    </w:p>
    <w:p>
      <w:pPr>
        <w:spacing w:after="60" w:afterLines="25" w:line="24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（六）恶意投诉的；</w:t>
      </w:r>
    </w:p>
    <w:p>
      <w:pPr>
        <w:spacing w:after="60" w:afterLines="25" w:line="24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（七）向采购项目相关人行贿或者提供其他不当利益的；</w:t>
      </w:r>
    </w:p>
    <w:p>
      <w:pPr>
        <w:spacing w:after="60" w:afterLines="25" w:line="24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（八）阻碍、抗拒主管部门监督检查的；</w:t>
      </w:r>
    </w:p>
    <w:p>
      <w:pPr>
        <w:spacing w:after="60" w:afterLines="25" w:line="24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（九）其他违反本条例规定的行为。</w:t>
      </w:r>
    </w:p>
    <w:p>
      <w:pPr>
        <w:spacing w:after="60" w:afterLines="25" w:line="24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二、《深圳经济特区政府采购条例实施细则》第七十五条 供应商有下列情形的，属于采购条例所称的串通</w:t>
      </w:r>
      <w:r>
        <w:rPr>
          <w:rFonts w:hint="eastAsia" w:ascii="宋体" w:hAnsi="宋体"/>
          <w:sz w:val="28"/>
          <w:szCs w:val="28"/>
          <w:lang w:val="en-US" w:eastAsia="zh-CN"/>
        </w:rPr>
        <w:t>投标</w:t>
      </w:r>
      <w:r>
        <w:rPr>
          <w:rFonts w:hint="eastAsia" w:ascii="宋体" w:hAnsi="宋体"/>
          <w:sz w:val="28"/>
          <w:szCs w:val="28"/>
        </w:rPr>
        <w:t>行为，按照采购条例第五十七条有关规定处理：</w:t>
      </w:r>
    </w:p>
    <w:p>
      <w:pPr>
        <w:spacing w:after="60" w:afterLines="25" w:line="24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（一）</w:t>
      </w:r>
      <w:r>
        <w:rPr>
          <w:rFonts w:hint="eastAsia" w:ascii="宋体" w:hAnsi="宋体"/>
          <w:sz w:val="28"/>
          <w:szCs w:val="28"/>
          <w:lang w:val="en-US" w:eastAsia="zh-CN"/>
        </w:rPr>
        <w:t>响应</w:t>
      </w:r>
      <w:r>
        <w:rPr>
          <w:rFonts w:hint="eastAsia" w:ascii="宋体" w:hAnsi="宋体"/>
          <w:sz w:val="28"/>
          <w:szCs w:val="28"/>
        </w:rPr>
        <w:t>供应商之间相互约定给予未中标的供应商利益补偿；</w:t>
      </w:r>
    </w:p>
    <w:p>
      <w:pPr>
        <w:spacing w:after="60" w:afterLines="25" w:line="24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（二）不同</w:t>
      </w:r>
      <w:r>
        <w:rPr>
          <w:rFonts w:hint="eastAsia" w:ascii="宋体" w:hAnsi="宋体"/>
          <w:sz w:val="28"/>
          <w:szCs w:val="28"/>
          <w:lang w:val="en-US" w:eastAsia="zh-CN"/>
        </w:rPr>
        <w:t>响应</w:t>
      </w:r>
      <w:r>
        <w:rPr>
          <w:rFonts w:hint="eastAsia" w:ascii="宋体" w:hAnsi="宋体"/>
          <w:sz w:val="28"/>
          <w:szCs w:val="28"/>
        </w:rPr>
        <w:t>供应商的法定代表人、主要经营负责人、项目</w:t>
      </w:r>
      <w:r>
        <w:rPr>
          <w:rFonts w:hint="eastAsia" w:ascii="宋体" w:hAnsi="宋体"/>
          <w:sz w:val="28"/>
          <w:szCs w:val="28"/>
          <w:lang w:val="en-US" w:eastAsia="zh-CN"/>
        </w:rPr>
        <w:t>响应</w:t>
      </w:r>
      <w:r>
        <w:rPr>
          <w:rFonts w:hint="eastAsia" w:ascii="宋体" w:hAnsi="宋体"/>
          <w:sz w:val="28"/>
          <w:szCs w:val="28"/>
        </w:rPr>
        <w:t>授权代表人、项目负责人、主要技术人员为同一人、属同一单位或者在同一单位缴纳社会保险；</w:t>
      </w:r>
    </w:p>
    <w:p>
      <w:pPr>
        <w:spacing w:after="60" w:afterLines="25" w:line="24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（三）不同</w:t>
      </w:r>
      <w:r>
        <w:rPr>
          <w:rFonts w:hint="eastAsia" w:ascii="宋体" w:hAnsi="宋体"/>
          <w:sz w:val="28"/>
          <w:szCs w:val="28"/>
          <w:lang w:val="en-US" w:eastAsia="zh-CN"/>
        </w:rPr>
        <w:t>响应</w:t>
      </w:r>
      <w:r>
        <w:rPr>
          <w:rFonts w:hint="eastAsia" w:ascii="宋体" w:hAnsi="宋体"/>
          <w:sz w:val="28"/>
          <w:szCs w:val="28"/>
        </w:rPr>
        <w:t>供应商的</w:t>
      </w:r>
      <w:r>
        <w:rPr>
          <w:rFonts w:hint="eastAsia" w:ascii="宋体" w:hAnsi="宋体"/>
          <w:sz w:val="28"/>
          <w:szCs w:val="28"/>
          <w:lang w:val="en-US" w:eastAsia="zh-CN"/>
        </w:rPr>
        <w:t>响应</w:t>
      </w:r>
      <w:r>
        <w:rPr>
          <w:rFonts w:hint="eastAsia" w:ascii="宋体" w:hAnsi="宋体"/>
          <w:sz w:val="28"/>
          <w:szCs w:val="28"/>
        </w:rPr>
        <w:t>文件由同一单位或者同一人编制，或者由同一人分阶段参与编制的；</w:t>
      </w:r>
    </w:p>
    <w:p>
      <w:pPr>
        <w:spacing w:after="60" w:afterLines="25" w:line="24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（四）不同</w:t>
      </w:r>
      <w:r>
        <w:rPr>
          <w:rFonts w:hint="eastAsia" w:ascii="宋体" w:hAnsi="宋体"/>
          <w:sz w:val="28"/>
          <w:szCs w:val="28"/>
          <w:lang w:val="en-US" w:eastAsia="zh-CN"/>
        </w:rPr>
        <w:t>响应</w:t>
      </w:r>
      <w:r>
        <w:rPr>
          <w:rFonts w:hint="eastAsia" w:ascii="宋体" w:hAnsi="宋体"/>
          <w:sz w:val="28"/>
          <w:szCs w:val="28"/>
        </w:rPr>
        <w:t>供应商的</w:t>
      </w:r>
      <w:r>
        <w:rPr>
          <w:rFonts w:hint="eastAsia" w:ascii="宋体" w:hAnsi="宋体"/>
          <w:sz w:val="28"/>
          <w:szCs w:val="28"/>
          <w:lang w:val="en-US" w:eastAsia="zh-CN"/>
        </w:rPr>
        <w:t>响应</w:t>
      </w:r>
      <w:r>
        <w:rPr>
          <w:rFonts w:hint="eastAsia" w:ascii="宋体" w:hAnsi="宋体"/>
          <w:sz w:val="28"/>
          <w:szCs w:val="28"/>
        </w:rPr>
        <w:t>文件或部分</w:t>
      </w:r>
      <w:r>
        <w:rPr>
          <w:rFonts w:hint="eastAsia" w:ascii="宋体" w:hAnsi="宋体"/>
          <w:sz w:val="28"/>
          <w:szCs w:val="28"/>
          <w:lang w:val="en-US" w:eastAsia="zh-CN"/>
        </w:rPr>
        <w:t>响应</w:t>
      </w:r>
      <w:r>
        <w:rPr>
          <w:rFonts w:hint="eastAsia" w:ascii="宋体" w:hAnsi="宋体"/>
          <w:sz w:val="28"/>
          <w:szCs w:val="28"/>
        </w:rPr>
        <w:t>文件相互混装；</w:t>
      </w:r>
    </w:p>
    <w:p>
      <w:pPr>
        <w:spacing w:after="60" w:afterLines="25" w:line="24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（五）不同</w:t>
      </w:r>
      <w:r>
        <w:rPr>
          <w:rFonts w:hint="eastAsia" w:ascii="宋体" w:hAnsi="宋体"/>
          <w:sz w:val="28"/>
          <w:szCs w:val="28"/>
          <w:lang w:val="en-US" w:eastAsia="zh-CN"/>
        </w:rPr>
        <w:t>响应</w:t>
      </w:r>
      <w:r>
        <w:rPr>
          <w:rFonts w:hint="eastAsia" w:ascii="宋体" w:hAnsi="宋体"/>
          <w:sz w:val="28"/>
          <w:szCs w:val="28"/>
        </w:rPr>
        <w:t>供应商的</w:t>
      </w:r>
      <w:r>
        <w:rPr>
          <w:rFonts w:hint="eastAsia" w:ascii="宋体" w:hAnsi="宋体"/>
          <w:sz w:val="28"/>
          <w:szCs w:val="28"/>
          <w:lang w:val="en-US" w:eastAsia="zh-CN"/>
        </w:rPr>
        <w:t>响应</w:t>
      </w:r>
      <w:r>
        <w:rPr>
          <w:rFonts w:hint="eastAsia" w:ascii="宋体" w:hAnsi="宋体"/>
          <w:sz w:val="28"/>
          <w:szCs w:val="28"/>
        </w:rPr>
        <w:t>文件内容存在非正常一致；</w:t>
      </w:r>
    </w:p>
    <w:p>
      <w:pPr>
        <w:spacing w:after="60" w:afterLines="25" w:line="24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（六）由同一单位工作人员为两家以上（含两家）供应商进行同一项</w:t>
      </w:r>
      <w:r>
        <w:rPr>
          <w:rFonts w:hint="eastAsia" w:ascii="宋体" w:hAnsi="宋体"/>
          <w:sz w:val="28"/>
          <w:szCs w:val="28"/>
          <w:lang w:val="en-US" w:eastAsia="zh-CN"/>
        </w:rPr>
        <w:t>响应</w:t>
      </w:r>
      <w:r>
        <w:rPr>
          <w:rFonts w:hint="eastAsia" w:ascii="宋体" w:hAnsi="宋体"/>
          <w:sz w:val="28"/>
          <w:szCs w:val="28"/>
        </w:rPr>
        <w:t>活动的；</w:t>
      </w:r>
    </w:p>
    <w:p>
      <w:pPr>
        <w:spacing w:after="60" w:afterLines="25" w:line="24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（七）主管部门依照法律、法规认定的其他情形。</w:t>
      </w:r>
    </w:p>
    <w:p>
      <w:pPr>
        <w:spacing w:after="60" w:afterLines="25" w:line="24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三、《深圳经济特区政府采购条例实施细则》第七十七条 供应商有下列情形之一的，属于隐瞒真实情况，提供虚假资料，按照采购条例第五十七</w:t>
      </w:r>
      <w:r>
        <w:rPr>
          <w:rFonts w:hint="eastAsia" w:ascii="宋体" w:hAnsi="宋体"/>
          <w:sz w:val="28"/>
          <w:szCs w:val="28"/>
          <w:lang w:eastAsia="zh-CN"/>
        </w:rPr>
        <w:t>条</w:t>
      </w:r>
      <w:r>
        <w:rPr>
          <w:rFonts w:hint="eastAsia" w:ascii="宋体" w:hAnsi="宋体"/>
          <w:sz w:val="28"/>
          <w:szCs w:val="28"/>
        </w:rPr>
        <w:t>的有关规定处理：</w:t>
      </w:r>
    </w:p>
    <w:p>
      <w:pPr>
        <w:spacing w:after="60" w:afterLines="25" w:line="24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（一）通过转让或者租借等方式从其他单位获取资格或者资质证书</w:t>
      </w:r>
      <w:r>
        <w:rPr>
          <w:rFonts w:hint="eastAsia" w:ascii="宋体" w:hAnsi="宋体"/>
          <w:sz w:val="28"/>
          <w:szCs w:val="28"/>
          <w:lang w:val="en-US" w:eastAsia="zh-CN"/>
        </w:rPr>
        <w:t>响应</w:t>
      </w:r>
      <w:r>
        <w:rPr>
          <w:rFonts w:hint="eastAsia" w:ascii="宋体" w:hAnsi="宋体"/>
          <w:sz w:val="28"/>
          <w:szCs w:val="28"/>
        </w:rPr>
        <w:t>的；</w:t>
      </w:r>
    </w:p>
    <w:p>
      <w:pPr>
        <w:spacing w:after="60" w:afterLines="25" w:line="24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（二）由其他单位或者其他单位负责人在</w:t>
      </w:r>
      <w:r>
        <w:rPr>
          <w:rFonts w:hint="eastAsia" w:ascii="宋体" w:hAnsi="宋体"/>
          <w:sz w:val="28"/>
          <w:szCs w:val="28"/>
          <w:lang w:val="en-US" w:eastAsia="zh-CN"/>
        </w:rPr>
        <w:t>响应</w:t>
      </w:r>
      <w:r>
        <w:rPr>
          <w:rFonts w:hint="eastAsia" w:ascii="宋体" w:hAnsi="宋体"/>
          <w:sz w:val="28"/>
          <w:szCs w:val="28"/>
        </w:rPr>
        <w:t>供应商编制的</w:t>
      </w:r>
      <w:r>
        <w:rPr>
          <w:rFonts w:hint="eastAsia" w:ascii="宋体" w:hAnsi="宋体"/>
          <w:sz w:val="28"/>
          <w:szCs w:val="28"/>
          <w:lang w:val="en-US" w:eastAsia="zh-CN"/>
        </w:rPr>
        <w:t>响应</w:t>
      </w:r>
      <w:r>
        <w:rPr>
          <w:rFonts w:hint="eastAsia" w:ascii="宋体" w:hAnsi="宋体"/>
          <w:sz w:val="28"/>
          <w:szCs w:val="28"/>
        </w:rPr>
        <w:t>文件上加盖印章或者签字的；</w:t>
      </w:r>
    </w:p>
    <w:p>
      <w:pPr>
        <w:spacing w:after="60" w:afterLines="25" w:line="24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（三）项目负责人或者主要技术人员不是本单位人员的；</w:t>
      </w:r>
    </w:p>
    <w:p>
      <w:pPr>
        <w:spacing w:after="60" w:afterLines="25" w:line="240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（四）</w:t>
      </w:r>
      <w:r>
        <w:rPr>
          <w:rFonts w:hint="eastAsia" w:ascii="宋体" w:hAnsi="宋体"/>
          <w:sz w:val="28"/>
          <w:szCs w:val="28"/>
          <w:lang w:val="en-US" w:eastAsia="zh-CN"/>
        </w:rPr>
        <w:t>响应</w:t>
      </w:r>
      <w:r>
        <w:rPr>
          <w:rFonts w:hint="eastAsia" w:ascii="宋体" w:hAnsi="宋体"/>
          <w:sz w:val="28"/>
          <w:szCs w:val="28"/>
        </w:rPr>
        <w:t>保证金不是从</w:t>
      </w:r>
      <w:r>
        <w:rPr>
          <w:rFonts w:hint="eastAsia" w:ascii="宋体" w:hAnsi="宋体"/>
          <w:sz w:val="28"/>
          <w:szCs w:val="28"/>
          <w:lang w:val="en-US" w:eastAsia="zh-CN"/>
        </w:rPr>
        <w:t>响应</w:t>
      </w:r>
      <w:r>
        <w:rPr>
          <w:rFonts w:hint="eastAsia" w:ascii="宋体" w:hAnsi="宋体"/>
          <w:sz w:val="28"/>
          <w:szCs w:val="28"/>
        </w:rPr>
        <w:t>供应商基本账户转出的；</w:t>
      </w:r>
    </w:p>
    <w:p>
      <w:pPr>
        <w:spacing w:after="60" w:afterLines="25" w:line="240" w:lineRule="auto"/>
        <w:ind w:firstLine="560" w:firstLineChars="200"/>
      </w:pPr>
      <w:r>
        <w:rPr>
          <w:rFonts w:hint="eastAsia" w:ascii="宋体" w:hAnsi="宋体"/>
          <w:sz w:val="28"/>
          <w:szCs w:val="28"/>
        </w:rPr>
        <w:t>（五）其他隐瞒真实情况、提供虚假资料的行为。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42A932"/>
    <w:rsid w:val="77D5EEBA"/>
    <w:rsid w:val="7F42A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styleId="3">
    <w:name w:val="Body Text 2"/>
    <w:basedOn w:val="1"/>
    <w:qFormat/>
    <w:uiPriority w:val="0"/>
    <w:pPr>
      <w:spacing w:line="360" w:lineRule="auto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2026-08-18T16:59:00Z</dcterms:created>
  <dc:creator>崔卉琳</dc:creator>
  <cp:lastModifiedBy>崔卉琳</cp:lastModifiedBy>
  <dcterms:modified xsi:type="dcterms:W3CDTF">2026-08-18T16:59:44Z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