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项目综合评分表</w:t>
      </w:r>
    </w:p>
    <w:p>
      <w:pPr>
        <w:pStyle w:val="2"/>
        <w:rPr>
          <w:rFonts w:hint="eastAsia"/>
          <w:lang w:eastAsia="zh-CN"/>
        </w:rPr>
      </w:pPr>
    </w:p>
    <w:tbl>
      <w:tblPr>
        <w:tblStyle w:val="4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9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8" w:hRule="atLeast"/>
          <w:jc w:val="center"/>
        </w:trPr>
        <w:tc>
          <w:tcPr>
            <w:tcW w:w="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none"/>
                <w:lang w:eastAsia="zh-CN"/>
              </w:rPr>
              <w:t>评分信息</w:t>
            </w:r>
          </w:p>
        </w:tc>
        <w:tc>
          <w:tcPr>
            <w:tcW w:w="9265" w:type="dxa"/>
            <w:noWrap w:val="0"/>
            <w:vAlign w:val="center"/>
          </w:tcPr>
          <w:tbl>
            <w:tblPr>
              <w:tblStyle w:val="4"/>
              <w:tblW w:w="0" w:type="auto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45"/>
              <w:gridCol w:w="706"/>
              <w:gridCol w:w="659"/>
              <w:gridCol w:w="1371"/>
              <w:gridCol w:w="649"/>
              <w:gridCol w:w="486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6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7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评分项</w:t>
                  </w: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行号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内容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具体分值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评分准则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50" w:hRule="atLeast"/>
              </w:trPr>
              <w:tc>
                <w:tcPr>
                  <w:tcW w:w="6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价格</w:t>
                  </w:r>
                </w:p>
                <w:p>
                  <w:pPr>
                    <w:pStyle w:val="2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（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30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）</w:t>
                  </w: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响应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eastAsia="zh-CN"/>
                    </w:rPr>
                    <w:t>报价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1.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 xml:space="preserve">评标基准价：通过资格性、符合性审查，且未被认定为异常低价的最低有效响应报价为基准价（P0）。          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2.报价得分计算公式：价格得分=（P0÷响应报价P)×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3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0（保留2位小数）。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3. 异常低价审查：报价＜所有符合要求供应商报价平均值50%、报价≤最高限价50%或低于次低价（符合要求的供应商）50%的，须提交成本分析、材料价单等证明，无法合理解释的按无效响应处理。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92" w:hRule="atLeast"/>
              </w:trPr>
              <w:tc>
                <w:tcPr>
                  <w:tcW w:w="64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技术（</w:t>
                  </w:r>
                  <w:r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" w:eastAsia="zh-CN" w:bidi="ar"/>
                    </w:rPr>
                    <w:t>48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）</w:t>
                  </w: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实施方案内容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评审内容：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完整覆盖七大服务模块（三级故障处置、月度巡检、每周校时、每年不少于4次每季度不少于1次空调养护、整机检测、UPS≥2小时供电、考试驻场），结合本机房独立内网、18-28℃恒温、UPS满载工况编制方案。</w:t>
                  </w:r>
                </w:p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评审标准：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七大模块完整细化，贴合机房现场全部实际工况，运维流程、巡检计划、设备检测方案详实可落地得20分；七大服务模块齐全，但仅通用模板，未结合本项目机房特殊离线、供电、温湿度条件得10分；缺失 UPS 检测/年度空调养护任一核心服务内容得5分。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00" w:hRule="atLeast"/>
              </w:trPr>
              <w:tc>
                <w:tcPr>
                  <w:tcW w:w="64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70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  <w:t>故障分级响应时效专项评分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评审内容：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  <w:t>故障分级响应时效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eastAsia="zh-CN"/>
                    </w:rPr>
                    <w:t>保障。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评审标准：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一级故障4小时到场、3小时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内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 xml:space="preserve">恢复；二级24小时到场 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8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小时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内恢复基础功能，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48小时内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修复；三级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48小时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内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到场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12小时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内恢复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，全部时效完全满足10 分；任意一级时效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未达标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扣3分，最低0分。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23" w:hRule="atLeast"/>
              </w:trPr>
              <w:tc>
                <w:tcPr>
                  <w:tcW w:w="64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70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  <w:t>项目重难点分析及应急方案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"/>
                    </w:rPr>
                  </w:pPr>
                  <w:r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" w:eastAsia="zh-CN" w:bidi="ar"/>
                    </w:rPr>
                    <w:t>18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评审内容：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针对机房恒温、UPS断电、离线无外网故障、考场不间断监控四大重难点编制专项预案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default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评审标准：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四大重难点均有细化处置流程、备用设备轮换、驻场保障、备件储备完整规划得18分；重难点均有分析，但预案简略，无落地人员、备件配套措施得10分；缺少一项及以上重难点专项应对方案得5分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default" w:ascii="宋体" w:hAnsi="宋体" w:cs="宋体"/>
                      <w:kern w:val="0"/>
                      <w:szCs w:val="21"/>
                      <w:highlight w:val="none"/>
                      <w:lang w:val="en-US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49" w:hRule="atLeast"/>
              </w:trPr>
              <w:tc>
                <w:tcPr>
                  <w:tcW w:w="64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综合实力（</w:t>
                  </w: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</w:t>
                  </w:r>
                  <w:r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" w:eastAsia="zh-CN" w:bidi="ar"/>
                    </w:rPr>
                    <w:t>7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）</w:t>
                  </w: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响应单位同类项目业绩情况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"/>
                    </w:rPr>
                  </w:pPr>
                  <w:r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" w:eastAsia="zh-CN" w:bidi="ar"/>
                    </w:rPr>
                    <w:t>4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pStyle w:val="2"/>
                    <w:spacing w:after="0"/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评审内容：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考察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响应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人202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3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年1月1日（以合同签订日期为准）至本项目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响应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截止日止，具有同类（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弱电信息化系统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运维服务类）项目的业绩情况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。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评审标准：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1"/>
                      <w:szCs w:val="21"/>
                      <w:lang w:eastAsia="zh-CN"/>
                    </w:rPr>
                    <w:t>提供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lang w:val="en-US" w:eastAsia="zh-CN"/>
                    </w:rPr>
                    <w:t>2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  <w:t>个或以上项目业绩得</w:t>
                  </w:r>
                  <w:r>
                    <w:rPr>
                      <w:rFonts w:hint="default" w:ascii="宋体" w:hAnsi="宋体" w:cs="宋体"/>
                      <w:kern w:val="0"/>
                      <w:sz w:val="21"/>
                      <w:szCs w:val="21"/>
                      <w:lang w:val="en" w:eastAsia="zh-CN"/>
                    </w:rPr>
                    <w:t>4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  <w:t>分，提供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lang w:val="en-US" w:eastAsia="zh-CN"/>
                    </w:rPr>
                    <w:t>1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  <w:t>个得</w:t>
                  </w:r>
                  <w:r>
                    <w:rPr>
                      <w:rFonts w:hint="default" w:ascii="宋体" w:hAnsi="宋体" w:cs="宋体"/>
                      <w:kern w:val="0"/>
                      <w:sz w:val="21"/>
                      <w:szCs w:val="21"/>
                      <w:lang w:val="en" w:eastAsia="zh-CN"/>
                    </w:rPr>
                    <w:t>2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</w:rPr>
                    <w:t>分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lang w:eastAsia="zh-CN"/>
                    </w:rPr>
                    <w:t>，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1"/>
                      <w:szCs w:val="21"/>
                      <w:lang w:val="en-US" w:eastAsia="zh-CN"/>
                    </w:rPr>
                    <w:t>不提供不得分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。</w:t>
                  </w:r>
                </w:p>
                <w:p>
                  <w:pPr>
                    <w:rPr>
                      <w:rFonts w:hint="eastAsia" w:ascii="宋体" w:hAnsi="宋体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/>
                      <w:szCs w:val="21"/>
                      <w:highlight w:val="none"/>
                    </w:rPr>
                    <w:t>评分依据：</w:t>
                  </w:r>
                </w:p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highlight w:val="none"/>
                      <w:lang w:val="en-US" w:eastAsia="zh-CN"/>
                    </w:rPr>
                    <w:t>提供项目合同关键页+项目验收证明</w:t>
                  </w:r>
                  <w:r>
                    <w:rPr>
                      <w:rFonts w:hint="eastAsia" w:ascii="宋体" w:hAnsi="宋体"/>
                      <w:szCs w:val="21"/>
                      <w:highlight w:val="none"/>
                    </w:rPr>
                    <w:t>。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28" w:hRule="atLeast"/>
              </w:trPr>
              <w:tc>
                <w:tcPr>
                  <w:tcW w:w="64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70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项目负责人资质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pStyle w:val="2"/>
                    <w:spacing w:after="0"/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评审内容：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拟派项目负责人为本单位自有员工，持有以下任意一类证书/职称，每具备1项得2.5分，本项满分5分。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1.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具有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智能建筑弱电系统高级项目管理师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证书；</w:t>
                  </w:r>
                </w:p>
                <w:p>
                  <w:pPr>
                    <w:pStyle w:val="2"/>
                    <w:spacing w:after="0"/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2.具有智能化系统工程师（高级）。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评审标准：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项目负责人每具有其中1个证书得2.5分，最高得5分。</w:t>
                  </w:r>
                </w:p>
                <w:p>
                  <w:pPr>
                    <w:pStyle w:val="2"/>
                    <w:spacing w:after="0"/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1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.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要求提供近1个月社保缴交证明材料；如供应商为新成立企业且成立时间不足1个月的可提供加盖公章的情况说明或其他相关证明材料。</w:t>
                  </w:r>
                </w:p>
                <w:p>
                  <w:pPr>
                    <w:pStyle w:val="2"/>
                    <w:spacing w:after="0"/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2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.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以上资料均要求提供清晰复印件或扫描件，原件备查。</w:t>
                  </w:r>
                </w:p>
                <w:p>
                  <w:pPr>
                    <w:pStyle w:val="2"/>
                    <w:spacing w:after="0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3.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评分中出现无证明资料或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评审人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无法凭所提供资料判断是否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符合要求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的情况，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且</w:t>
                  </w: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响应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人无法按照要求提供相关证明的，视为无效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不得分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。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50" w:hRule="atLeast"/>
              </w:trPr>
              <w:tc>
                <w:tcPr>
                  <w:tcW w:w="64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70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t>持证技术团队配置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"/>
                    </w:rPr>
                  </w:pPr>
                  <w:r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" w:eastAsia="zh-CN" w:bidi="ar"/>
                    </w:rPr>
                    <w:t>8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pStyle w:val="2"/>
                    <w:spacing w:after="0"/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评审内容：拟投入运维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eastAsia="zh-CN"/>
                    </w:rPr>
                    <w:t>团队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人员持有以下任一有效证书，每人得</w:t>
                  </w:r>
                  <w:r>
                    <w:rPr>
                      <w:rFonts w:hint="default" w:ascii="宋体" w:hAnsi="宋体" w:cs="宋体"/>
                      <w:kern w:val="0"/>
                      <w:szCs w:val="21"/>
                      <w:highlight w:val="none"/>
                      <w:lang w:val="en"/>
                    </w:rPr>
                    <w:t>2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分，满分</w:t>
                  </w:r>
                  <w:r>
                    <w:rPr>
                      <w:rFonts w:hint="default" w:ascii="宋体" w:hAnsi="宋体" w:cs="宋体"/>
                      <w:kern w:val="0"/>
                      <w:szCs w:val="21"/>
                      <w:highlight w:val="none"/>
                      <w:lang w:val="en"/>
                    </w:rPr>
                    <w:t>8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分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①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信息系统运维管理工程师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证书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；</w:t>
                  </w:r>
                </w:p>
                <w:p>
                  <w:pPr>
                    <w:pStyle w:val="2"/>
                    <w:spacing w:after="0"/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②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智能化系统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工程师（高级）证书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；</w:t>
                  </w:r>
                </w:p>
                <w:p>
                  <w:pPr>
                    <w:pStyle w:val="2"/>
                    <w:spacing w:after="0"/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③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弱电系统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工程师（高级）证书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；</w:t>
                  </w:r>
                </w:p>
                <w:p>
                  <w:pPr>
                    <w:pStyle w:val="2"/>
                    <w:spacing w:after="0"/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④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网络工程师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（高级）证书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</w:rPr>
                    <w:t>；</w:t>
                  </w:r>
                </w:p>
                <w:p>
                  <w:pPr>
                    <w:rPr>
                      <w:rFonts w:hint="eastAsia" w:ascii="宋体" w:hAnsi="宋体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/>
                      <w:szCs w:val="21"/>
                      <w:highlight w:val="none"/>
                    </w:rPr>
                    <w:t>评分</w:t>
                  </w:r>
                  <w:r>
                    <w:rPr>
                      <w:rFonts w:hint="eastAsia" w:ascii="宋体" w:hAnsi="宋体"/>
                      <w:szCs w:val="21"/>
                      <w:highlight w:val="none"/>
                      <w:lang w:eastAsia="zh-CN"/>
                    </w:rPr>
                    <w:t>标准</w:t>
                  </w:r>
                  <w:r>
                    <w:rPr>
                      <w:rFonts w:hint="eastAsia" w:ascii="宋体" w:hAnsi="宋体"/>
                      <w:szCs w:val="21"/>
                      <w:highlight w:val="none"/>
                    </w:rPr>
                    <w:t>：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/>
                      <w:highlight w:val="non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  <w:highlight w:val="none"/>
                      <w:lang w:val="en-US" w:eastAsia="zh-CN"/>
                    </w:rPr>
                    <w:t>提供相关证书材料复印件。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50" w:hRule="atLeast"/>
              </w:trPr>
              <w:tc>
                <w:tcPr>
                  <w:tcW w:w="64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val="en-US" w:eastAsia="zh-CN"/>
                    </w:rPr>
                    <w:t>4</w:t>
                  </w:r>
                </w:p>
              </w:tc>
              <w:tc>
                <w:tcPr>
                  <w:tcW w:w="7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highlight w:val="none"/>
                      <w:u w:val="none"/>
                      <w:lang w:eastAsia="zh-CN"/>
                    </w:rPr>
                  </w:pPr>
                  <w:r>
                    <w:rPr>
                      <w:rFonts w:ascii="宋体" w:hAnsi="宋体" w:eastAsia="宋体"/>
                      <w:szCs w:val="21"/>
                    </w:rPr>
                    <w:t>诚信情况</w:t>
                  </w:r>
                  <w:r>
                    <w:rPr>
                      <w:rFonts w:hint="eastAsia" w:ascii="宋体" w:hAnsi="宋体" w:eastAsia="宋体"/>
                      <w:szCs w:val="21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/>
                      <w:szCs w:val="21"/>
                      <w:lang w:val="en-US" w:eastAsia="zh-CN"/>
                    </w:rPr>
                    <w:t>5</w:t>
                  </w:r>
                  <w:r>
                    <w:rPr>
                      <w:rFonts w:hint="eastAsia" w:ascii="宋体" w:hAnsi="宋体" w:eastAsia="宋体"/>
                      <w:szCs w:val="21"/>
                      <w:lang w:eastAsia="zh-CN"/>
                    </w:rPr>
                    <w:t>）</w:t>
                  </w:r>
                </w:p>
              </w:tc>
              <w:tc>
                <w:tcPr>
                  <w:tcW w:w="65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ascii="宋体" w:hAnsi="宋体" w:eastAsia="宋体"/>
                      <w:szCs w:val="21"/>
                    </w:rPr>
                    <w:t>诚信情况</w:t>
                  </w:r>
                </w:p>
              </w:tc>
              <w:tc>
                <w:tcPr>
                  <w:tcW w:w="6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48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ind w:firstLine="0" w:firstLineChars="0"/>
                    <w:jc w:val="left"/>
                    <w:rPr>
                      <w:rFonts w:hint="eastAsia" w:ascii="宋体" w:hAnsi="宋体" w:eastAsia="宋体"/>
                      <w:szCs w:val="21"/>
                    </w:rPr>
                  </w:pPr>
                  <w:r>
                    <w:rPr>
                      <w:rFonts w:hint="eastAsia" w:ascii="宋体" w:hAnsi="宋体" w:eastAsia="宋体"/>
                      <w:szCs w:val="21"/>
                    </w:rPr>
                    <w:t>（一）评分内容：</w:t>
                  </w:r>
                </w:p>
                <w:p>
                  <w:pPr>
                    <w:ind w:firstLine="0" w:firstLineChars="0"/>
                    <w:jc w:val="left"/>
                    <w:rPr>
                      <w:rFonts w:hint="eastAsia" w:ascii="宋体" w:hAnsi="宋体" w:eastAsia="宋体"/>
                    </w:rPr>
                  </w:pPr>
                  <w:r>
                    <w:rPr>
                      <w:rFonts w:hint="eastAsia" w:ascii="宋体" w:hAnsi="宋体" w:eastAsia="宋体"/>
                    </w:rPr>
                    <w:t>供应商存在《深圳市财政局政府采购供应商信用信息管理办法》（深财规〔2023〕3号）列明的一般行政处罚信息、一般违法失信记录信息的，本项不得分，不存在上述情形的本项得</w:t>
                  </w:r>
                  <w:r>
                    <w:rPr>
                      <w:rFonts w:hint="eastAsia" w:ascii="宋体" w:hAnsi="宋体"/>
                      <w:lang w:val="en-US" w:eastAsia="zh-CN"/>
                    </w:rPr>
                    <w:t>5</w:t>
                  </w:r>
                  <w:r>
                    <w:rPr>
                      <w:rFonts w:hint="eastAsia" w:ascii="宋体" w:hAnsi="宋体" w:eastAsia="宋体"/>
                    </w:rPr>
                    <w:t>分。供应商无需提供任何证明材料，评标过程中由工作人员向评审委员会提供有关供应商诚信查询结果。</w:t>
                  </w:r>
                </w:p>
                <w:p>
                  <w:pPr>
                    <w:ind w:firstLine="0" w:firstLineChars="0"/>
                    <w:jc w:val="left"/>
                    <w:rPr>
                      <w:rFonts w:hint="eastAsia" w:ascii="宋体" w:hAnsi="宋体" w:eastAsia="宋体"/>
                      <w:szCs w:val="21"/>
                    </w:rPr>
                  </w:pPr>
                  <w:r>
                    <w:rPr>
                      <w:rFonts w:hint="eastAsia" w:ascii="宋体" w:hAnsi="宋体" w:eastAsia="宋体"/>
                      <w:szCs w:val="21"/>
                    </w:rPr>
                    <w:t>（二）评分依据：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/>
                    </w:rPr>
                    <w:t>查询渠道：通过“信用中国”（www.creditchina.gov.cn，下载信用信息报告）、“中国政府采购网”（www.ccgp.gov.cn）”、“深圳市政府采购监管网”（http://zfcg.sz.gov.cn）以及“深圳政府采购智慧平台信用库”为供应商信用信息的查询渠道，相关信息以开标当日的查询结果为准。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yellow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747F25"/>
    <w:rsid w:val="77D5EEBA"/>
    <w:rsid w:val="BF74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2026-08-18T17:29:00Z</dcterms:created>
  <dc:creator>崔卉琳</dc:creator>
  <cp:lastModifiedBy>崔卉琳</cp:lastModifiedBy>
  <dcterms:modified xsi:type="dcterms:W3CDTF">2026-08-18T17:29:48Z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